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KËRKESË PËR OFERTË</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sz w:val="18"/>
          <w:szCs w:val="1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br w:type="textWrapp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-66705</wp:posOffset>
                </wp:positionH>
                <wp:positionV relativeFrom="paragraph">
                  <wp:posOffset>-42543</wp:posOffset>
                </wp:positionV>
                <wp:extent cx="6009116" cy="50801"/>
                <wp:effectExtent b="0" l="0" r="0" t="0"/>
                <wp:wrapNone/>
                <wp:docPr descr="Straight Arrow Connector 462247236" id="1" name=""/>
                <a:graphic>
                  <a:graphicData uri="http://schemas.microsoft.com/office/word/2010/wordprocessingShape">
                    <wps:wsp>
                      <wps:cNvCnPr/>
                      <wps:spPr>
                        <a:xfrm flipH="1" rot="10800000">
                          <a:off x="2346205" y="3759362"/>
                          <a:ext cx="5999591" cy="41276"/>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-66705</wp:posOffset>
                </wp:positionH>
                <wp:positionV relativeFrom="paragraph">
                  <wp:posOffset>-42543</wp:posOffset>
                </wp:positionV>
                <wp:extent cx="6009116" cy="50801"/>
                <wp:effectExtent b="0" l="0" r="0" t="0"/>
                <wp:wrapNone/>
                <wp:docPr descr="Straight Arrow Connector 462247236" id="1" name="image2.png"/>
                <a:graphic>
                  <a:graphicData uri="http://schemas.openxmlformats.org/drawingml/2006/picture">
                    <pic:pic>
                      <pic:nvPicPr>
                        <pic:cNvPr descr="Straight Arrow Connector 462247236" id="0" name="image2.png"/>
                        <pic:cNvPicPr preferRelativeResize="0"/>
                      </pic:nvPicPr>
                      <pic:blipFill>
                        <a:blip r:embed="rId6"/>
                        <a:srcRect/>
                        <a:stretch>
                          <a:fillRect/>
                        </a:stretch>
                      </pic:blipFill>
                      <pic:spPr>
                        <a:xfrm>
                          <a:off x="0" y="0"/>
                          <a:ext cx="6009116" cy="50801"/>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Numri i Referencës: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00</w:t>
      </w:r>
      <w:r w:rsidDel="00000000" w:rsidR="00000000" w:rsidRPr="00000000">
        <w:rPr>
          <w:rFonts w:ascii="Verdana" w:cs="Verdana" w:eastAsia="Verdana" w:hAnsi="Verdana"/>
          <w:sz w:val="18"/>
          <w:szCs w:val="18"/>
          <w:rtl w:val="0"/>
        </w:rPr>
        <w:t xml:space="preserve">5</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/2025 /FLOSSK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TITULLI: </w:t>
      </w:r>
      <w:r w:rsidDel="00000000" w:rsidR="00000000" w:rsidRPr="00000000">
        <w:rPr>
          <w:rFonts w:ascii="Verdana" w:cs="Verdana" w:eastAsia="Verdana" w:hAnsi="Verdana"/>
          <w:sz w:val="18"/>
          <w:szCs w:val="18"/>
          <w:rtl w:val="0"/>
        </w:rPr>
        <w:t xml:space="preserve">Ekspert për i Komunikimit dhe Partneriteteve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AUTORITETI KONTRAKTUES: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Free Libre Open Source Software Kosova - FLOSSK e financuar nga donatorët vendas dhe ndërkombëtarë.</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bookmarkStart w:colFirst="0" w:colLast="0" w:name="_1m9laovjtutr" w:id="0"/>
      <w:bookmarkEnd w:id="0"/>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Free Libre Open Source Software Kosova - FLOSSK</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është duke implementuar disa projekte të financuara nga donatorë vendorë dhe ndërkombëtarë. Duke pasur parasysh që do të na duhet një ekspert (individ apo kompani) për të ndërtuar dhe zbatuar sisteme që mbështesin ndjekjen dhe menaxhimin e projekteve, duke siguruar efikasitet, transparencë dhe përputhshmëri me kërkesat e donatorëve. FLOSSK fton kompanitë e interesuara të aplikojnë për të ofruar çmimet e tyre sipask kërkesave dhe nevojat e FLOSSK.</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br w:type="textWrapping"/>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Data e Mbylljes: </w:t>
      </w:r>
      <w:r w:rsidDel="00000000" w:rsidR="00000000" w:rsidRPr="00000000">
        <w:rPr>
          <w:rFonts w:ascii="Verdana" w:cs="Verdana" w:eastAsia="Verdana" w:hAnsi="Verdana"/>
          <w:b w:val="1"/>
          <w:bCs w:val="1"/>
          <w:sz w:val="18"/>
          <w:szCs w:val="18"/>
          <w:rtl w:val="0"/>
        </w:rPr>
        <w:t xml:space="preserve">Prill</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1"/>
          <w:bCs w:val="1"/>
          <w:sz w:val="18"/>
          <w:szCs w:val="18"/>
          <w:rtl w:val="0"/>
        </w:rPr>
        <w:t xml:space="preserve">1</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202</w:t>
      </w:r>
      <w:r w:rsidDel="00000000" w:rsidR="00000000" w:rsidRPr="00000000">
        <w:rPr>
          <w:rFonts w:ascii="Verdana" w:cs="Verdana" w:eastAsia="Verdana" w:hAnsi="Verdana"/>
          <w:b w:val="1"/>
          <w:bCs w:val="1"/>
          <w:sz w:val="18"/>
          <w:szCs w:val="18"/>
          <w:rtl w:val="0"/>
        </w:rPr>
        <w:t xml:space="preserve">6</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17:00 (CET)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Të nderuar zotëri / Zonjë,</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Ju lutemi të na jepni një ofertë për </w:t>
      </w:r>
      <w:r w:rsidDel="00000000" w:rsidR="00000000" w:rsidRPr="00000000">
        <w:rPr>
          <w:rFonts w:ascii="Verdana" w:cs="Verdana" w:eastAsia="Verdana" w:hAnsi="Verdana"/>
          <w:b w:val="1"/>
          <w:bCs w:val="1"/>
          <w:i w:val="0"/>
          <w:iCs w:val="0"/>
          <w:smallCaps w:val="0"/>
          <w:strike w:val="0"/>
          <w:color w:val="000000"/>
          <w:sz w:val="18"/>
          <w:szCs w:val="18"/>
          <w:u w:val="single"/>
          <w:shd w:fill="auto" w:val="clear"/>
          <w:vertAlign w:val="baseline"/>
          <w:rtl w:val="0"/>
        </w:rPr>
        <w:t xml:space="preserve">Ekspert </w:t>
      </w:r>
      <w:r w:rsidDel="00000000" w:rsidR="00000000" w:rsidRPr="00000000">
        <w:rPr>
          <w:rFonts w:ascii="Verdana" w:cs="Verdana" w:eastAsia="Verdana" w:hAnsi="Verdana"/>
          <w:b w:val="1"/>
          <w:bCs w:val="1"/>
          <w:sz w:val="18"/>
          <w:szCs w:val="18"/>
          <w:u w:val="single"/>
          <w:rtl w:val="0"/>
        </w:rPr>
        <w:t xml:space="preserve">për i Komunikimit dhe Partneriteteve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specifikuara në tabelën më poshtë.</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4"/>
          <w:szCs w:val="14"/>
          <w:u w:val="none"/>
          <w:shd w:fill="auto" w:val="clear"/>
          <w:vertAlign w:val="baseline"/>
        </w:rPr>
      </w:pPr>
      <w:bookmarkStart w:colFirst="0" w:colLast="0" w:name="_5b030fe6qjid" w:id="1"/>
      <w:bookmarkEnd w:id="1"/>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bCs w:val="0"/>
          <w:i w:val="1"/>
          <w:iCs w:val="1"/>
          <w:smallCaps w:val="0"/>
          <w:strike w:val="0"/>
          <w:color w:val="000000"/>
          <w:sz w:val="14"/>
          <w:szCs w:val="14"/>
          <w:u w:val="none"/>
          <w:shd w:fill="auto" w:val="clear"/>
          <w:vertAlign w:val="baseline"/>
          <w:rtl w:val="0"/>
        </w:rPr>
        <w:t xml:space="preserve">*Ju lutemi tregoni çmimin për secilën artikul/shërbiml në listë.</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4"/>
          <w:szCs w:val="14"/>
          <w:u w:val="none"/>
          <w:shd w:fill="auto" w:val="clear"/>
          <w:vertAlign w:val="baseline"/>
        </w:rPr>
      </w:pPr>
      <w:r w:rsidDel="00000000" w:rsidR="00000000" w:rsidRPr="00000000">
        <w:rPr>
          <w:rtl w:val="0"/>
        </w:rPr>
      </w:r>
    </w:p>
    <w:tbl>
      <w:tblPr>
        <w:tblStyle w:val="Table1"/>
        <w:tblW w:w="8853.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422"/>
        <w:gridCol w:w="2151"/>
        <w:gridCol w:w="2253"/>
        <w:gridCol w:w="2028"/>
        <w:tblGridChange w:id="0">
          <w:tblGrid>
            <w:gridCol w:w="2422"/>
            <w:gridCol w:w="2151"/>
            <w:gridCol w:w="2253"/>
            <w:gridCol w:w="2028"/>
          </w:tblGrid>
        </w:tblGridChange>
      </w:tblGrid>
      <w:tr>
        <w:trPr>
          <w:cantSplit w:val="0"/>
          <w:trHeight w:val="2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Produkti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Ditë</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Data e Synuar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Çmimi</w:t>
            </w:r>
            <w:r w:rsidDel="00000000" w:rsidR="00000000" w:rsidRPr="00000000">
              <w:rPr>
                <w:rtl w:val="0"/>
              </w:rPr>
            </w:r>
          </w:p>
        </w:tc>
      </w:tr>
      <w:tr>
        <w:trPr>
          <w:cantSplit w:val="0"/>
          <w:trHeight w:val="7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Aftësimi i ekipit të FLOSSK dhe Ndërtimi i Databazës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Prill</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rPr/>
            </w:pP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Paketimi i Materialeve të Prezantimit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Maj</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rPr/>
            </w:pPr>
            <w:r w:rsidDel="00000000" w:rsidR="00000000" w:rsidRPr="00000000">
              <w:rPr>
                <w:rtl w:val="0"/>
              </w:rPr>
            </w:r>
          </w:p>
        </w:tc>
      </w:tr>
      <w:tr>
        <w:trPr>
          <w:cantSplit w:val="0"/>
          <w:trHeight w:val="7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Organizimi dhe Realizimi i Mini donnor conference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sz w:val="20"/>
                <w:szCs w:val="20"/>
                <w:rtl w:val="0"/>
              </w:rPr>
              <w:t xml:space="preserve">Maj</w:t>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 202</w:t>
            </w:r>
            <w:r w:rsidDel="00000000" w:rsidR="00000000" w:rsidRPr="00000000">
              <w:rPr>
                <w:rFonts w:ascii="Verdana" w:cs="Verdana" w:eastAsia="Verdana" w:hAnsi="Verdana"/>
                <w:sz w:val="20"/>
                <w:szCs w:val="2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rPr/>
            </w:pP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b w:val="1"/>
          <w:bCs w:val="1"/>
          <w:i w:val="0"/>
          <w:iCs w:val="0"/>
          <w:smallCaps w:val="0"/>
          <w:strike w:val="0"/>
          <w:color w:val="000000"/>
          <w:sz w:val="20"/>
          <w:szCs w:val="20"/>
          <w:u w:val="none"/>
          <w:shd w:fill="auto" w:val="clear"/>
          <w:vertAlign w:val="baseline"/>
          <w:rtl w:val="0"/>
        </w:rPr>
        <w:t xml:space="preserve">Produktet e Pritshme</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240" w:line="240" w:lineRule="auto"/>
        <w:ind w:left="720" w:right="0" w:hanging="36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Raporti i aftësimit mbi angazhimin e donatorëve dhe baza e të dhënave të donatorëve e strukturuar me kontakte dhe prioritete financimi.</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720" w:right="0" w:hanging="36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Paketa e materialeve të prezantimit duke përfshirë broshurën dhe planin vjetor.</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beforeAutospacing="0" w:line="240" w:lineRule="auto"/>
        <w:ind w:left="720" w:right="0" w:hanging="36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Dokumentacioni i organizimit të mini-konferencës dhe udhëzuesi i provave të prezantimit.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1"/>
          <w:bCs w:val="1"/>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1"/>
          <w:iCs w:val="1"/>
          <w:smallCaps w:val="0"/>
          <w:strike w:val="0"/>
          <w:color w:val="000000"/>
          <w:sz w:val="18"/>
          <w:szCs w:val="18"/>
          <w:u w:val="none"/>
          <w:shd w:fill="auto" w:val="clear"/>
          <w:vertAlign w:val="baseline"/>
          <w:rtl w:val="0"/>
        </w:rPr>
        <w:t xml:space="preserve">Kushtet e ofertimit</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Ofertat duhet te përfshijnë çmimet PA TVSH</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Ofertat duhet të jenë valide së paku </w:t>
      </w:r>
      <w:r w:rsidDel="00000000" w:rsidR="00000000" w:rsidRPr="00000000">
        <w:rPr>
          <w:rFonts w:ascii="Verdana" w:cs="Verdana" w:eastAsia="Verdana" w:hAnsi="Verdana"/>
          <w:b w:val="0"/>
          <w:bCs w:val="0"/>
          <w:i w:val="1"/>
          <w:iCs w:val="1"/>
          <w:smallCaps w:val="0"/>
          <w:strike w:val="0"/>
          <w:color w:val="000000"/>
          <w:sz w:val="18"/>
          <w:szCs w:val="18"/>
          <w:u w:val="single"/>
          <w:shd w:fill="auto" w:val="clear"/>
          <w:vertAlign w:val="baseline"/>
          <w:rtl w:val="0"/>
        </w:rPr>
        <w:t xml:space="preserve">60</w:t>
      </w: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 ditë pas datës se dorëzimit</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CV ose profili i kompanisë me referenca (opsionale)</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Certifikata e regjistrimit të biznesit (nëse është kompani)</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t xml:space="preserve">Me anë të plotësimit dhe nënshkrimit të kësaj oferte deklaroj se i pranoj kushtet e mëposhtme dhe se si ofertues nuk bie ndesh në asnjë nga kushtet dhe kriteret e përjashtimit të listuara më poshtë.</w:t>
      </w:r>
    </w:p>
    <w:tbl>
      <w:tblPr>
        <w:tblStyle w:val="Table2"/>
        <w:tblW w:w="9539.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422"/>
        <w:gridCol w:w="7117"/>
        <w:tblGridChange w:id="0">
          <w:tblGrid>
            <w:gridCol w:w="2422"/>
            <w:gridCol w:w="7117"/>
          </w:tblGrid>
        </w:tblGridChange>
      </w:tblGrid>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3.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Emri dhe Mbiemri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rPr/>
            </w:pPr>
            <w:r w:rsidDel="00000000" w:rsidR="00000000" w:rsidRPr="00000000">
              <w:rPr>
                <w:rtl w:val="0"/>
              </w:rPr>
            </w:r>
          </w:p>
        </w:tc>
      </w:tr>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Emri i Kompanisë</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rPr/>
            </w:pPr>
            <w:r w:rsidDel="00000000" w:rsidR="00000000" w:rsidRPr="00000000">
              <w:rPr>
                <w:rtl w:val="0"/>
              </w:rPr>
            </w:r>
          </w:p>
        </w:tc>
      </w:tr>
      <w:tr>
        <w:trPr>
          <w:cantSplit w:val="0"/>
          <w:trHeight w:val="2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7.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NUI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6">
            <w:pPr>
              <w:rPr/>
            </w:pPr>
            <w:r w:rsidDel="00000000" w:rsidR="00000000" w:rsidRPr="00000000">
              <w:rPr>
                <w:rtl w:val="0"/>
              </w:rPr>
            </w:r>
          </w:p>
        </w:tc>
      </w:tr>
      <w:tr>
        <w:trPr>
          <w:cantSplit w:val="0"/>
          <w:trHeight w:val="117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7.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Nënshkrimi dhe Vula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89"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6.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Data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80.0" w:type="dxa"/>
              <w:left w:w="80.0" w:type="dxa"/>
              <w:bottom w:w="80.0" w:type="dxa"/>
              <w:right w:w="80.0" w:type="dxa"/>
            </w:tcMar>
            <w:vAlign w:val="center"/>
          </w:tcPr>
          <w:p w:rsidR="00000000" w:rsidDel="00000000" w:rsidP="00000000" w:rsidRDefault="00000000" w:rsidRPr="00000000" w14:paraId="0000004A">
            <w:pPr>
              <w:rPr/>
            </w:pPr>
            <w:r w:rsidDel="00000000" w:rsidR="00000000" w:rsidRPr="00000000">
              <w:rPr>
                <w:rtl w:val="0"/>
              </w:rPr>
              <w:t xml:space="preserve">18 dhjetor 2025</w:t>
            </w:r>
          </w:p>
        </w:tc>
      </w:tr>
    </w:tbl>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1"/>
          <w:iCs w:val="1"/>
          <w:smallCaps w:val="0"/>
          <w:strike w:val="0"/>
          <w:color w:val="000000"/>
          <w:sz w:val="18"/>
          <w:szCs w:val="18"/>
          <w:u w:val="none"/>
          <w:shd w:fill="auto" w:val="clear"/>
          <w:vertAlign w:val="baseline"/>
          <w:rtl w:val="0"/>
        </w:rPr>
        <w:br w:type="textWrapping"/>
        <w:t xml:space="preserve">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*Bashkëngjit, portofolion e kompanisë dhe dokumentet e tjera te kërkuara ne këtë thirrje.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Eksperti do të angazhohet për </w:t>
      </w:r>
      <w:r w:rsidDel="00000000" w:rsidR="00000000" w:rsidRPr="00000000">
        <w:rPr>
          <w:rFonts w:ascii="Verdana" w:cs="Verdana" w:eastAsia="Verdana" w:hAnsi="Verdana"/>
          <w:b w:val="1"/>
          <w:bCs w:val="1"/>
          <w:sz w:val="20"/>
          <w:szCs w:val="20"/>
          <w:rtl w:val="0"/>
        </w:rPr>
        <w:t xml:space="preserve">14 ditë</w:t>
      </w:r>
      <w:r w:rsidDel="00000000" w:rsidR="00000000" w:rsidRPr="00000000">
        <w:rPr>
          <w:rFonts w:ascii="Verdana" w:cs="Verdana" w:eastAsia="Verdana" w:hAnsi="Verdana"/>
          <w:sz w:val="20"/>
          <w:szCs w:val="20"/>
          <w:rtl w:val="0"/>
        </w:rPr>
        <w:t xml:space="preserve"> gjatë dy muajve për të kryer analizën, draftimin dhe integrimin e strategjisë.</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1">
      <w:pPr>
        <w:spacing w:after="240" w:befor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Detyrat kryesore:</w:t>
      </w:r>
    </w:p>
    <w:p w:rsidR="00000000" w:rsidDel="00000000" w:rsidP="00000000" w:rsidRDefault="00000000" w:rsidRPr="00000000" w14:paraId="00000052">
      <w:pPr>
        <w:numPr>
          <w:ilvl w:val="0"/>
          <w:numId w:val="2"/>
        </w:numPr>
        <w:spacing w:after="0" w:afterAutospacing="0" w:befor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Trajnimi dhe Analiza (5 ditë): Trajnimi i 5 anëtarëve të FLOSSK për angazhim donatorësh dhe shkrim propozimesh, si dhe krijimi i bazës së të dhënave me donatorë potencialë. </w:t>
      </w:r>
    </w:p>
    <w:p w:rsidR="00000000" w:rsidDel="00000000" w:rsidP="00000000" w:rsidRDefault="00000000" w:rsidRPr="00000000" w14:paraId="00000053">
      <w:pPr>
        <w:numPr>
          <w:ilvl w:val="0"/>
          <w:numId w:val="2"/>
        </w:numPr>
        <w:spacing w:after="0" w:afterAutospacing="0" w:before="0" w:beforeAutospacing="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Zhvillimi i Materialeve (5 ditë): Hartimi i materialeve të prezantimit duke përfshirë broshurën e organizatës, planin vjetor dhe mjetet vizuale për komunikim me donatorë. </w:t>
      </w:r>
    </w:p>
    <w:p w:rsidR="00000000" w:rsidDel="00000000" w:rsidP="00000000" w:rsidRDefault="00000000" w:rsidRPr="00000000" w14:paraId="00000054">
      <w:pPr>
        <w:numPr>
          <w:ilvl w:val="0"/>
          <w:numId w:val="2"/>
        </w:numPr>
        <w:spacing w:after="240" w:before="0" w:beforeAutospacing="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Organizimi i Konferencës (4 ditë): Koordinimi i donorëve, realizimi i provave të prezantimit dhe mbështetja e ekipit për mbarëvajtjen e mini-konferencës së financimit.</w:t>
      </w:r>
    </w:p>
    <w:p w:rsidR="00000000" w:rsidDel="00000000" w:rsidP="00000000" w:rsidRDefault="00000000" w:rsidRPr="00000000" w14:paraId="00000055">
      <w:pPr>
        <w:spacing w:after="240" w:before="240" w:lineRule="auto"/>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Kualifikimet: </w:t>
      </w:r>
    </w:p>
    <w:p w:rsidR="00000000" w:rsidDel="00000000" w:rsidP="00000000" w:rsidRDefault="00000000" w:rsidRPr="00000000" w14:paraId="00000056">
      <w:pPr>
        <w:numPr>
          <w:ilvl w:val="0"/>
          <w:numId w:val="10"/>
        </w:numPr>
        <w:spacing w:after="0" w:afterAutospacing="0" w:befor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Minimum 5 vite përvojë në ngritjen e kapaciteteve për fundraising, shkrim propozimesh dhe komunikim me donatorë për OJQ. </w:t>
      </w:r>
    </w:p>
    <w:p w:rsidR="00000000" w:rsidDel="00000000" w:rsidP="00000000" w:rsidRDefault="00000000" w:rsidRPr="00000000" w14:paraId="00000057">
      <w:pPr>
        <w:numPr>
          <w:ilvl w:val="0"/>
          <w:numId w:val="10"/>
        </w:numPr>
        <w:spacing w:after="0" w:afterAutospacing="0" w:before="0" w:beforeAutospacing="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Përvojë e dëshmuar në trajnimin e ekipeve dhe mentorimin e stafit në fushën e zhvillimit të qëndrueshmërisë. </w:t>
      </w:r>
    </w:p>
    <w:p w:rsidR="00000000" w:rsidDel="00000000" w:rsidP="00000000" w:rsidRDefault="00000000" w:rsidRPr="00000000" w14:paraId="00000058">
      <w:pPr>
        <w:numPr>
          <w:ilvl w:val="0"/>
          <w:numId w:val="10"/>
        </w:numPr>
        <w:spacing w:after="0" w:afterAutospacing="0" w:before="0" w:beforeAutospacing="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Njohuri në dizajnimin e materialeve promovuese dhe planeve vjetore strategjike. </w:t>
      </w:r>
    </w:p>
    <w:p w:rsidR="00000000" w:rsidDel="00000000" w:rsidP="00000000" w:rsidRDefault="00000000" w:rsidRPr="00000000" w14:paraId="00000059">
      <w:pPr>
        <w:numPr>
          <w:ilvl w:val="0"/>
          <w:numId w:val="10"/>
        </w:numPr>
        <w:spacing w:after="0" w:afterAutospacing="0" w:before="0" w:beforeAutospacing="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Aftësi të larta organizative për menaxhimin e eventeve dhe konferencave me donatorë dhe partnerë.</w:t>
      </w:r>
    </w:p>
    <w:p w:rsidR="00000000" w:rsidDel="00000000" w:rsidP="00000000" w:rsidRDefault="00000000" w:rsidRPr="00000000" w14:paraId="0000005A">
      <w:pPr>
        <w:numPr>
          <w:ilvl w:val="0"/>
          <w:numId w:val="9"/>
        </w:numPr>
        <w:ind w:left="720" w:hanging="360"/>
        <w:rPr>
          <w:rFonts w:ascii="Verdana" w:cs="Verdana" w:eastAsia="Verdana" w:hAnsi="Verdana"/>
          <w:sz w:val="20"/>
          <w:szCs w:val="20"/>
          <w:u w:val="no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Metoda e Dorëzimit</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Dorëzimi elektronik i</w:t>
      </w: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ofertave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Adresa për dorëzimin e ofertave: </w:t>
      </w:r>
      <w:r w:rsidDel="00000000" w:rsidR="00000000" w:rsidRPr="00000000">
        <w:rPr>
          <w:rFonts w:ascii="Verdana" w:cs="Verdana" w:eastAsia="Verdana" w:hAnsi="Verdana"/>
          <w:b w:val="0"/>
          <w:bCs w:val="0"/>
          <w:i w:val="0"/>
          <w:iCs w:val="0"/>
          <w:smallCaps w:val="0"/>
          <w:strike w:val="0"/>
          <w:color w:val="1155cc"/>
          <w:sz w:val="18"/>
          <w:szCs w:val="18"/>
          <w:u w:val="single"/>
          <w:shd w:fill="auto" w:val="clear"/>
          <w:vertAlign w:val="baseline"/>
          <w:rtl w:val="0"/>
        </w:rPr>
        <w:t xml:space="preserve">procurement@flossk.org</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Udhëzimet e përgjithshme të tenderit:</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origjinale duhet të dorëzohet në postën elektronike:</w:t>
      </w:r>
      <w:r w:rsidDel="00000000" w:rsidR="00000000" w:rsidRPr="00000000">
        <w:rPr>
          <w:rFonts w:ascii="Verdana" w:cs="Verdana" w:eastAsia="Verdana" w:hAnsi="Verdana"/>
          <w:b w:val="0"/>
          <w:bCs w:val="0"/>
          <w:i w:val="0"/>
          <w:iCs w:val="0"/>
          <w:smallCaps w:val="0"/>
          <w:strike w:val="0"/>
          <w:color w:val="1155cc"/>
          <w:sz w:val="18"/>
          <w:szCs w:val="18"/>
          <w:u w:val="single"/>
          <w:shd w:fill="auto" w:val="clear"/>
          <w:vertAlign w:val="baseline"/>
          <w:rtl w:val="0"/>
        </w:rPr>
        <w:t xml:space="preserve"> procurement@flossk.org</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tregojë Furnizimin e (Produktit ose Shërbimit), (Emri i Kompanisë), (FLOSSK 2025) dhe të vuloset.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Ofertuesit duhet të paraqesin të gjitha dokumentet e nevojshme për të mbështetur ofertën e tyre.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Ofertuesit do të jenë përgjegjës për paraqitjen e ofertave gjatë orarit të punës tek adresa e caktuar.</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Para zgjedhjes përfundimtare, ofertuesve mund t'u kërkohet të japin informacion shtesë që mund të konsiderohet i nevojshëm për të vlerësuar më tej ofertat.</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Të drejtat e rezervuara:</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gjitha ofertat bëhen pronë e FLOSSK dhe FLOSSK rezervon të drejtën në diskrecionin e saj për:</w:t>
      </w:r>
    </w:p>
    <w:p w:rsidR="00000000" w:rsidDel="00000000" w:rsidP="00000000" w:rsidRDefault="00000000" w:rsidRPr="00000000" w14:paraId="000000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mund ta anulojë këtë Kërkesë për Ofertë në çdo kohë. FLOSSK rezervon të drejtën të refuzojë ndonjë apo të gjitha ofertat e marra.</w:t>
      </w:r>
    </w:p>
    <w:p w:rsidR="00000000" w:rsidDel="00000000" w:rsidP="00000000" w:rsidRDefault="00000000" w:rsidRPr="00000000" w14:paraId="000000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për heqje dorë ndaj çdo devijimi të ofertuesit sipas specifikacioneve të kërkuara, që sipas mendimit të FLOSSK-së konsiderohen të mos jenë defekte materiale që kërkojnë refuzim ose diskualifikim; ose kur një heqje dorë e tillë do të nxisë konkurrencë në rritje.</w:t>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Zgjatë afatin për dorëzimin e të gjitha përgjigjeve të kësaj thirrje për ofertë pas njoftimit të të gjithë ofertuesve.</w:t>
      </w:r>
    </w:p>
    <w:p w:rsidR="00000000" w:rsidDel="00000000" w:rsidP="00000000" w:rsidRDefault="00000000" w:rsidRPr="00000000" w14:paraId="000000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Përfundojë ose modifikojë procesin e thirrjes për ofertë në çdo kohë dhe ri-lëshojë thirrjen për ofertë për këdo që FLOSSK e gjykon të përshtatshme.</w:t>
      </w:r>
    </w:p>
    <w:p w:rsidR="00000000" w:rsidDel="00000000" w:rsidP="00000000" w:rsidRDefault="00000000" w:rsidRPr="00000000" w14:paraId="000000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për të dhënë një kontratë bazuar në vlerësimin fillestar të ofertave pa diskutim.</w: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0" w:line="240"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Të shpërblejë vetëm pjesë të aktiviteteve në shpallje ose dhënien e shpërblimeve të shumëfishta në bazë të aktiviteteve të shpallura.</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Njoftimi për ndryshimet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Ofertuesit do të njoftohen me shkrim për çdo ndryshim në specifikimet e përfshira në këtë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E drejta e Refuzimit dhe sqarimit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FLOSSK rezervon të drejtën të hedhë poshtë të gjitha ofertat e marra dhe të kërkojë sqarime për çdo informacion nga çdo Ofertues.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Kërkesa për informacion shtesë </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Para zgjedhjes përfundimtare, ofertuesve mund t'u kërkohet të japin informacion shtesë që mund të konsiderohet i nevojshëm për të vlerësuar më tej ofertat.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1"/>
          <w:bCs w:val="1"/>
          <w:i w:val="0"/>
          <w:iCs w:val="0"/>
          <w:smallCaps w:val="0"/>
          <w:strike w:val="0"/>
          <w:color w:val="000000"/>
          <w:sz w:val="18"/>
          <w:szCs w:val="18"/>
          <w:u w:val="singl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single"/>
          <w:shd w:fill="auto" w:val="clear"/>
          <w:vertAlign w:val="baseline"/>
          <w:rtl w:val="0"/>
        </w:rPr>
        <w:t xml:space="preserve">Kriteret e vlerësimit janë çmimi më i ulët dhe kualiteti i ofruar duke përmbushur specifikimet e përmendura.</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1"/>
          <w:bCs w:val="1"/>
          <w:i w:val="0"/>
          <w:iCs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Vlerësimi i Ofertave</w:t>
      </w: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 Ofertat do të vlerësohen nga një Komitet Zgjedhor.</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përmbajë të gjitha informacionet dhe specifikimet përkatëse në përputhje me këtë Kërkesë të Ofertës:</w:t>
      </w:r>
    </w:p>
    <w:p w:rsidR="00000000" w:rsidDel="00000000" w:rsidP="00000000" w:rsidRDefault="00000000" w:rsidRPr="00000000" w14:paraId="000000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përmbajë kopje të certifikatave të regjistrimit të biznesit;</w:t>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Portofolion e kompanisë dhe ekzemplarë (Online) të materialeve të ngjashme të përgatitura nga kompania e juaj (nëse ka).</w:t>
      </w:r>
    </w:p>
    <w:p w:rsidR="00000000" w:rsidDel="00000000" w:rsidP="00000000" w:rsidRDefault="00000000" w:rsidRPr="00000000" w14:paraId="000000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Oferta duhet të përfshijë çmimet e njësive në Euro;</w:t>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 disa projekte të organizatës që janë të përjashtuar nga TVSH-ja disa të tjera që përjashtohen nga të gjitha taksat e aplikueshme në Kosovë, nga kompania fituese do të kërkohet të bëjë fatura pa këto taksa.</w:t>
      </w:r>
    </w:p>
    <w:p w:rsidR="00000000" w:rsidDel="00000000" w:rsidP="00000000" w:rsidRDefault="00000000" w:rsidRPr="00000000" w14:paraId="000000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533" w:right="0" w:hanging="22.99999999999997"/>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rezervon të drejtën të refuzojë ndonjë ose të gjitha ofertat e marra.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Kriteret e Vlerësimit</w:t>
      </w:r>
    </w:p>
    <w:p w:rsidR="00000000" w:rsidDel="00000000" w:rsidP="00000000" w:rsidRDefault="00000000" w:rsidRPr="00000000" w14:paraId="0000008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Propozimi teknik &amp; metodologjia – 30%</w:t>
      </w:r>
    </w:p>
    <w:p w:rsidR="00000000" w:rsidDel="00000000" w:rsidP="00000000" w:rsidRDefault="00000000" w:rsidRPr="00000000" w14:paraId="0000008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Përvoja dhe kualifikimet – 30%</w:t>
      </w:r>
    </w:p>
    <w:p w:rsidR="00000000" w:rsidDel="00000000" w:rsidP="00000000" w:rsidRDefault="00000000" w:rsidRPr="00000000" w14:paraId="0000008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Oferta financiare – 40%</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Shënim</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Ju lutem vini re se me dorëzimin e ofertës, ofertuesi kupton se Donatori nuk është palë në këtë kërkesë dhe ofertuesi pajtohet që çdo shkresë në vijim duhet të paraqitet - me shkrim me shpjegime të plota – vetëm tek FLOSSK. </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0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mund të kërkojë sqarime nga ofertuesit e zgjedhur - deri në dy ose tre herë prezantim me gojë ose përgjigje me shkrim - shtjellim më specifik dhe fushëveprim më i detajuar i punës bazuar në një fushë të përgjithshme të punës nën thirrjen origjinale.</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51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FLOSSK ka të drejtë të anulojë një thirrje, ose të anulojë një kontratë paraprake përpara nënshkrimit të një urdhri blerjeje për shkak të ndonjë ndryshimi të paparashikuar.</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Kriteret e përjashtimit nga procedura (Të përcaktuara nga dokumenti i BE-së për procedura dhe udhëzime praktike (prag).</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Një operator ekonomik do të përjashtohet nga pjesëmarrja në procedurat e prokurimit dhe grantit nëse:</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i falimentuar, i nënshtrohet procedurave të falimentimit ose të likuidimit, ku aktivitetet e tij janë të administruar nga një likuidues ose nga një gjykatë, ku ai është në një marrëveshje me kreditorët, ku aktivitetet e tij të biznesit pezullohen ose kur është në ndonjë situatë analoge që del nga procedura të ngjashme të parashikuara në ligjet ose rregulloret kombëtare;</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administrativ të formës së prerë që operatori ekonomik është në kundërshtim me detyrimet e tij lidhur me pagesën e taksave ose sigurimeve shoqërore dhe kontributet në përputhje me ligjin e vendit në të cilin është themeluar, me ato të vendit në të cilin është vendosur autoriteti kontraktues ose ato të vendit të kryerjes se kontratës;</w:t>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administrativ të formës së prerë që operatori ekonomik është fajtor për sjellje të keqe profesionale të rëndë duke shkelur ligjet në fuqi ose rregulloret ose standardet etike të profesionit të cilit i përket operatori ekonomik, ose duke u angazhuar në çdo sjellje të gabuar që ka një ndikim në besueshmërinë e tij profesionale kur sjellja e tillë nënkupton një qëllim të gabuar ose neglizhencë të rëndë, duke përfshirë, në veçanti, ndonjë të përmendur poshtë:</w:t>
      </w:r>
    </w:p>
    <w:p w:rsidR="00000000" w:rsidDel="00000000" w:rsidP="00000000" w:rsidRDefault="00000000" w:rsidRPr="00000000" w14:paraId="0000009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me mashtrim apo me neglizhim paraqesin informacionin e kërkuar për verifikim, mungesa e arsyeve për përjashtim ose përmbushja e kritereve të përzgjedhjes në kryerjen e një kontrate;</w:t>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hyrë në marrëveshje me operatorë të tjerë ekonomik me qëllim të shtrembërimit të konkurrencës;</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shkelje e të drejtave të pronësisë intelektuale;</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tentuar të ndikojë në procesin e vendimmarrjes së autoritetit kontraktues gjatë procedurës së prokurimit;</w:t>
        <w:tab/>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duke u përpjekur për të marrë informacion konfidencial që mund t'i japë atyre avantazhe të padrejta në procedurën e prokurimit;</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aktgjykim të formës së prerë se operatori ekonomik është fajtor për cilëndo prej tyre në vazhdim:</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mashtrim, brenda kuptimit të nenit 1 të Konventës për mbrojtjen e Evropës</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Interesat financiare të komuniteteve të hartuara nga Akti i Këshillit i datës 26 korrik 199517;</w:t>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(ii) korrupsion, siç përcaktohet në nenin 3 të Konventës për luftën kundër korrupsionit duke përfshirë zyrtarët e Komuniteteve Europiane ose zyrtarët e Shteteve Anëtare të Bashkimi Evropian, i hartuar nga Akti i Këshillit i 26 Majit 199718, dhe në Nenin 2 (1) të Ligjit të Këshillit Vendimin Kornizë të Këshillit 2003/568 / JHA, si dhe korrupsionin siç përcaktohet në ligjin e vendit ku është vendosur autoriteti kontraktues, vendi në të cilin operatori ekonomik është themeluar ose vendi i ekzekutimit të kontratës;</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pjesëmarrje në një organizatë kriminale, siç përcaktohet në Nenin 2 të Kornizës së Këshillit Vendimi 2008/841/JHA;</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pastrimit të parave ose financimit të terrorizmit, siç përcaktohet në Nenin 1 të Direktivës 2005/60 / EC të Parlamenti Evropian dhe Këshilli 21;</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veprat penale të lidhura me gabime ose veprat penale të lidhura me aktivitetet terroriste, siç përcaktohet në nenet 1 dhe 3 të Vendimit Kornizë të Këshillit 2002/475/JHA, respektivisht, ose nxitjen, ndihmën ose inkurajimin ose përpjekje për të kryer vepra të tilla, siç referohet në nenin 4 të atij vendimi kornizë;</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punës së fëmijëve ose formave të tjera të trafikimit të qenieve njerëzore siç përcaktohet në nenin 2 të Direktivës 2011/36 / BE të Parlamentit Evropian dhe të Këshillit;</w:t>
        <w:tab/>
        <w:br w:type="textWrapping"/>
        <w:t xml:space="preserve">operatori ekonomik ka treguar mangësi të konsiderueshme në përmbushjen e detyrimeve kryesore në kryerjen e një kontrate të financuar nga BE, e cila ka çuar në përfundimin e saj të hershëm ose për zbatimin e dëmeve të likuiduara ose dënimeve të tjera kontraktuale ose që ka qenë zbuluar në vijim kontrollë, ose hetime nga një zyrtar autorizues, OLAF ose Gjykata e Auditorëve;</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është vërtetuar me vendim të formës së prerë, ose me vendim të formës së prerë administrative që operatori ekonomik ka kryer një parregullsi brenda kuptimit të nenit 1 (2) të Këshillit Rregullorja (KE, Euratom) Nr. 2988/95124.</w:t>
        <w:tab/>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Në rastet e përmendura në pikat (c), (d) dhe (f) në mungesë të aktgjykimit të formës së prerë ose vendimit përfundimtar administrativ, ose në rastin e përmendur në pikën (e), kur autoriteti kontraktues disponon fakte të themelimit apo gjetjeve të tjera, ajo përjashton një operator ekonomik në bazë të një klasifikimi paraprak të ligjit duke pasur parasysh rekomandimin e një paneli të pavarur për të siguruar një vlerësim të centralizuar të këtyre situatave.</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Në menaxhimin indirekt, sipas rastit së marrëveshjes së financimit ose të delegimit korrespondent, autoriteti kontraktues do të transmetojë informacionin për Komisionin, dhe Komisionin do t'i referohet çështjes panelit.</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Autoriteti kontraktues do të përjashtojë operatorin ekonomik kur një person i cili është anëtar i organit administrativ, menaxhues ose mbikëqyrës ose ka fuqi për përfaqësim, vendim ose kontroll mbi operatorin ekonomik është në një situatë të renditur në pikat (c), (d), (e) ose (f). Kjo vlen edhe për personin fizik ose juridik që merr përgjegjësi të pakufizuar për borxhet e atij operatori ekonomik është në një gjendja e shënuar në pikat (a) ose (b).</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Pika (a) nuk zbatohet për blerjen e furnizimeve me kushte veçanërisht të favorshme nga ose a furnizuesi i cili përfundon përfundimisht aktivitetet e tij të biznesit ose nga likuiduesit e një falimentimi, nëpërmjet një marrëveshje me kreditorët, ose nëpërmjet një procedure të ngjashme sipas ligjit kombëtar.</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76" w:lineRule="auto"/>
        <w:ind w:left="840" w:right="0" w:hanging="68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Autoriteti kontraktues nuk do të përjashtojë një operator ekonomik kur mund ta tregojë atë se a janë miratuar masa adekuate që sigurojnë besueshmërinë e saj, përveç rasteve të renditura në pikën (d), kur është e domosdoshme për vazhdimësinë e shërbimit për një kohëzgjatje të kufizuar dhe në pritje të miratimin e masave përmirësuese, ku përjashtimi do të ishte jo-proporcional</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Informacione më të hollësishme:</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8"/>
          <w:szCs w:val="18"/>
          <w:u w:val="none"/>
          <w:shd w:fill="auto" w:val="clear"/>
          <w:vertAlign w:val="baseline"/>
          <w:rtl w:val="0"/>
        </w:rPr>
        <w:t xml:space="preserve">Për kompanitë e interesuara, të gjitha pyetjet e tjera sqaruese mund të bëhen përmes postës elektronike procurement@flossk.org.</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18"/>
          <w:szCs w:val="18"/>
          <w:u w:val="none"/>
          <w:shd w:fill="auto" w:val="clear"/>
          <w:vertAlign w:val="baseline"/>
          <w:rtl w:val="0"/>
        </w:rPr>
        <w:t xml:space="preserve">FLOSSK nuk merr përgjegjësi për të kompensuar çdo kosto të bërë nga kompanitë ose individët kur përgatisin oferta.</w:t>
      </w: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777" w:top="1440" w:left="1440" w:right="839"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Verdan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tl w:val="0"/>
      </w:rPr>
      <w:t xml:space="preserve">Page </w:t>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tl w:val="0"/>
      </w:rPr>
      <w:t xml:space="preserve"> of </w:t>
    </w:r>
    <w:r w:rsidDel="00000000" w:rsidR="00000000" w:rsidRPr="00000000">
      <w:rPr>
        <w:rFonts w:ascii="Verdana" w:cs="Verdana" w:eastAsia="Verdana" w:hAnsi="Verdana"/>
        <w:b w:val="0"/>
        <w:bCs w:val="0"/>
        <w:i w:val="0"/>
        <w:iCs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4914265</wp:posOffset>
          </wp:positionH>
          <wp:positionV relativeFrom="page">
            <wp:posOffset>316865</wp:posOffset>
          </wp:positionV>
          <wp:extent cx="1781175" cy="479425"/>
          <wp:effectExtent b="0" l="0" r="0" t="0"/>
          <wp:wrapNone/>
          <wp:docPr descr="A black background with a black square&#10;&#10;AI-generated content may be incorrect." id="3" name="image1.png"/>
          <a:graphic>
            <a:graphicData uri="http://schemas.openxmlformats.org/drawingml/2006/picture">
              <pic:pic>
                <pic:nvPicPr>
                  <pic:cNvPr descr="A black background with a black square&#10;&#10;AI-generated content may be incorrect." id="0" name="image1.png"/>
                  <pic:cNvPicPr preferRelativeResize="0"/>
                </pic:nvPicPr>
                <pic:blipFill>
                  <a:blip r:embed="rId1"/>
                  <a:srcRect b="0" l="0" r="0" t="0"/>
                  <a:stretch>
                    <a:fillRect/>
                  </a:stretch>
                </pic:blipFill>
                <pic:spPr>
                  <a:xfrm>
                    <a:off x="0" y="0"/>
                    <a:ext cx="1781175" cy="479425"/>
                  </a:xfrm>
                  <a:prstGeom prst="rect"/>
                  <a:ln/>
                </pic:spPr>
              </pic:pic>
            </a:graphicData>
          </a:graphic>
        </wp:anchor>
      </w:drawing>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955357</wp:posOffset>
              </wp:positionH>
              <wp:positionV relativeFrom="page">
                <wp:posOffset>453072</wp:posOffset>
              </wp:positionV>
              <wp:extent cx="3640788" cy="357505"/>
              <wp:effectExtent b="0" l="0" r="0" t="0"/>
              <wp:wrapNone/>
              <wp:docPr descr="Rectangle 462247235" id="2" name=""/>
              <a:graphic>
                <a:graphicData uri="http://schemas.microsoft.com/office/word/2010/wordprocessingShape">
                  <wps:wsp>
                    <wps:cNvSpPr/>
                    <wps:cNvPr id="3" name="Shape 3"/>
                    <wps:spPr>
                      <a:xfrm>
                        <a:off x="3530369" y="3606010"/>
                        <a:ext cx="3631263" cy="3479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FLOSSK, me numër të regjistrimit (5112343-3) dhe numër fiskal: 601010911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FLOSSK, with registration no (5112343-3) and Fiscal No: 601010911</w:t>
                          </w:r>
                        </w:p>
                      </w:txbxContent>
                    </wps:txbx>
                    <wps:bodyPr anchorCtr="0" anchor="t" bIns="45700" lIns="45700" spcFirstLastPara="1" rIns="45700"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page">
                <wp:posOffset>955357</wp:posOffset>
              </wp:positionH>
              <wp:positionV relativeFrom="page">
                <wp:posOffset>453072</wp:posOffset>
              </wp:positionV>
              <wp:extent cx="3640788" cy="357505"/>
              <wp:effectExtent b="0" l="0" r="0" t="0"/>
              <wp:wrapNone/>
              <wp:docPr descr="Rectangle 462247235" id="2" name="image3.png"/>
              <a:graphic>
                <a:graphicData uri="http://schemas.openxmlformats.org/drawingml/2006/picture">
                  <pic:pic>
                    <pic:nvPicPr>
                      <pic:cNvPr descr="Rectangle 462247235" id="0" name="image3.png"/>
                      <pic:cNvPicPr preferRelativeResize="0"/>
                    </pic:nvPicPr>
                    <pic:blipFill>
                      <a:blip r:embed="rId2"/>
                      <a:srcRect/>
                      <a:stretch>
                        <a:fillRect/>
                      </a:stretch>
                    </pic:blipFill>
                    <pic:spPr>
                      <a:xfrm>
                        <a:off x="0" y="0"/>
                        <a:ext cx="3640788" cy="357505"/>
                      </a:xfrm>
                      <a:prstGeom prst="rect"/>
                      <a:ln/>
                    </pic:spPr>
                  </pic:pic>
                </a:graphicData>
              </a:graphic>
            </wp:anchor>
          </w:drawing>
        </mc:Fallback>
      </mc:AlternateConten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1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
      <w:lvlJc w:val="left"/>
      <w:pPr>
        <w:ind w:left="123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195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3">
      <w:start w:val="1"/>
      <w:numFmt w:val="bullet"/>
      <w:lvlText w:val="●"/>
      <w:lvlJc w:val="left"/>
      <w:pPr>
        <w:ind w:left="267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
      <w:lvlJc w:val="left"/>
      <w:pPr>
        <w:ind w:left="339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411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6">
      <w:start w:val="1"/>
      <w:numFmt w:val="bullet"/>
      <w:lvlText w:val="●"/>
      <w:lvlJc w:val="left"/>
      <w:pPr>
        <w:ind w:left="483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
      <w:lvlJc w:val="left"/>
      <w:pPr>
        <w:ind w:left="5550" w:firstLine="0"/>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270" w:firstLine="0"/>
      </w:pPr>
      <w:rPr>
        <w:rFonts w:ascii="Helvetica Neue" w:cs="Helvetica Neue" w:eastAsia="Helvetica Neue" w:hAnsi="Helvetica Neue"/>
        <w:b w:val="0"/>
        <w:bCs w:val="0"/>
        <w:i w:val="0"/>
        <w:iCs w:val="0"/>
        <w:smallCaps w:val="0"/>
        <w:strike w:val="0"/>
        <w:sz w:val="20"/>
        <w:szCs w:val="20"/>
        <w:shd w:fill="auto" w:val="clear"/>
        <w:vertAlign w:val="baseline"/>
      </w:rPr>
    </w:lvl>
  </w:abstractNum>
  <w:abstractNum w:abstractNumId="4">
    <w:lvl w:ilvl="0">
      <w:start w:val="1"/>
      <w:numFmt w:val="bullet"/>
      <w:lvlText w:val="-"/>
      <w:lvlJc w:val="left"/>
      <w:pPr>
        <w:ind w:left="720" w:hanging="360"/>
      </w:pPr>
      <w:rPr>
        <w:rFonts w:ascii="Calibri" w:cs="Calibri" w:eastAsia="Calibri" w:hAnsi="Calibri"/>
        <w:b w:val="0"/>
        <w:bCs w:val="0"/>
        <w:i w:val="0"/>
        <w:iCs w:val="0"/>
        <w:smallCaps w:val="0"/>
        <w:strike w:val="0"/>
        <w:shd w:fill="auto" w:val="clear"/>
        <w:vertAlign w:val="baseline"/>
      </w:rPr>
    </w:lvl>
    <w:lvl w:ilvl="1">
      <w:start w:val="1"/>
      <w:numFmt w:val="bullet"/>
      <w:lvlText w:val="o"/>
      <w:lvlJc w:val="left"/>
      <w:pPr>
        <w:ind w:left="1440" w:hanging="360"/>
      </w:pPr>
      <w:rPr>
        <w:rFonts w:ascii="Calibri" w:cs="Calibri" w:eastAsia="Calibri" w:hAnsi="Calibri"/>
        <w:b w:val="0"/>
        <w:bCs w:val="0"/>
        <w:i w:val="0"/>
        <w:iCs w:val="0"/>
        <w:smallCaps w:val="0"/>
        <w:strike w:val="0"/>
        <w:shd w:fill="auto" w:val="clear"/>
        <w:vertAlign w:val="baseline"/>
      </w:rPr>
    </w:lvl>
    <w:lvl w:ilvl="2">
      <w:start w:val="1"/>
      <w:numFmt w:val="bullet"/>
      <w:lvlText w:val="▪"/>
      <w:lvlJc w:val="left"/>
      <w:pPr>
        <w:ind w:left="2160" w:hanging="360"/>
      </w:pPr>
      <w:rPr>
        <w:rFonts w:ascii="Calibri" w:cs="Calibri" w:eastAsia="Calibri" w:hAnsi="Calibri"/>
        <w:b w:val="0"/>
        <w:bCs w:val="0"/>
        <w:i w:val="0"/>
        <w:iCs w:val="0"/>
        <w:smallCaps w:val="0"/>
        <w:strike w:val="0"/>
        <w:shd w:fill="auto" w:val="clear"/>
        <w:vertAlign w:val="baseline"/>
      </w:rPr>
    </w:lvl>
    <w:lvl w:ilvl="3">
      <w:start w:val="1"/>
      <w:numFmt w:val="bullet"/>
      <w:lvlText w:val="●"/>
      <w:lvlJc w:val="left"/>
      <w:pPr>
        <w:ind w:left="2880" w:hanging="360"/>
      </w:pPr>
      <w:rPr>
        <w:rFonts w:ascii="Calibri" w:cs="Calibri" w:eastAsia="Calibri" w:hAnsi="Calibri"/>
        <w:b w:val="0"/>
        <w:bCs w:val="0"/>
        <w:i w:val="0"/>
        <w:iCs w:val="0"/>
        <w:smallCaps w:val="0"/>
        <w:strike w:val="0"/>
        <w:shd w:fill="auto" w:val="clear"/>
        <w:vertAlign w:val="baseline"/>
      </w:rPr>
    </w:lvl>
    <w:lvl w:ilvl="4">
      <w:start w:val="1"/>
      <w:numFmt w:val="bullet"/>
      <w:lvlText w:val="o"/>
      <w:lvlJc w:val="left"/>
      <w:pPr>
        <w:ind w:left="3600" w:hanging="360"/>
      </w:pPr>
      <w:rPr>
        <w:rFonts w:ascii="Calibri" w:cs="Calibri" w:eastAsia="Calibri" w:hAnsi="Calibri"/>
        <w:b w:val="0"/>
        <w:bCs w:val="0"/>
        <w:i w:val="0"/>
        <w:iCs w:val="0"/>
        <w:smallCaps w:val="0"/>
        <w:strike w:val="0"/>
        <w:shd w:fill="auto" w:val="clear"/>
        <w:vertAlign w:val="baseline"/>
      </w:rPr>
    </w:lvl>
    <w:lvl w:ilvl="5">
      <w:start w:val="1"/>
      <w:numFmt w:val="bullet"/>
      <w:lvlText w:val="▪"/>
      <w:lvlJc w:val="left"/>
      <w:pPr>
        <w:ind w:left="4320" w:hanging="360"/>
      </w:pPr>
      <w:rPr>
        <w:rFonts w:ascii="Calibri" w:cs="Calibri" w:eastAsia="Calibri" w:hAnsi="Calibri"/>
        <w:b w:val="0"/>
        <w:bCs w:val="0"/>
        <w:i w:val="0"/>
        <w:iCs w:val="0"/>
        <w:smallCaps w:val="0"/>
        <w:strike w:val="0"/>
        <w:shd w:fill="auto" w:val="clear"/>
        <w:vertAlign w:val="baseline"/>
      </w:rPr>
    </w:lvl>
    <w:lvl w:ilvl="6">
      <w:start w:val="1"/>
      <w:numFmt w:val="bullet"/>
      <w:lvlText w:val="●"/>
      <w:lvlJc w:val="left"/>
      <w:pPr>
        <w:ind w:left="5040" w:hanging="360"/>
      </w:pPr>
      <w:rPr>
        <w:rFonts w:ascii="Calibri" w:cs="Calibri" w:eastAsia="Calibri" w:hAnsi="Calibri"/>
        <w:b w:val="0"/>
        <w:bCs w:val="0"/>
        <w:i w:val="0"/>
        <w:iCs w:val="0"/>
        <w:smallCaps w:val="0"/>
        <w:strike w:val="0"/>
        <w:shd w:fill="auto" w:val="clear"/>
        <w:vertAlign w:val="baseline"/>
      </w:rPr>
    </w:lvl>
    <w:lvl w:ilvl="7">
      <w:start w:val="1"/>
      <w:numFmt w:val="bullet"/>
      <w:lvlText w:val="o"/>
      <w:lvlJc w:val="left"/>
      <w:pPr>
        <w:ind w:left="5760" w:hanging="360"/>
      </w:pPr>
      <w:rPr>
        <w:rFonts w:ascii="Calibri" w:cs="Calibri" w:eastAsia="Calibri" w:hAnsi="Calibri"/>
        <w:b w:val="0"/>
        <w:bCs w:val="0"/>
        <w:i w:val="0"/>
        <w:iCs w:val="0"/>
        <w:smallCaps w:val="0"/>
        <w:strike w:val="0"/>
        <w:shd w:fill="auto" w:val="clear"/>
        <w:vertAlign w:val="baseline"/>
      </w:rPr>
    </w:lvl>
    <w:lvl w:ilvl="8">
      <w:start w:val="1"/>
      <w:numFmt w:val="bullet"/>
      <w:lvlText w:val="▪"/>
      <w:lvlJc w:val="left"/>
      <w:pPr>
        <w:ind w:left="6480" w:hanging="360"/>
      </w:pPr>
      <w:rPr>
        <w:rFonts w:ascii="Calibri" w:cs="Calibri" w:eastAsia="Calibri" w:hAnsi="Calibri"/>
        <w:b w:val="0"/>
        <w:bCs w:val="0"/>
        <w:i w:val="0"/>
        <w:iCs w:val="0"/>
        <w:smallCaps w:val="0"/>
        <w:strike w:val="0"/>
        <w:shd w:fill="auto" w:val="clear"/>
        <w:vertAlign w:val="baseline"/>
      </w:rPr>
    </w:lvl>
  </w:abstractNum>
  <w:abstractNum w:abstractNumId="5">
    <w:lvl w:ilvl="0">
      <w:start w:val="1"/>
      <w:numFmt w:val="bullet"/>
      <w:lvlText w:val="-"/>
      <w:lvlJc w:val="left"/>
      <w:pPr>
        <w:ind w:left="1080" w:hanging="360"/>
      </w:pPr>
      <w:rPr>
        <w:rFonts w:ascii="Verdana" w:cs="Verdana" w:eastAsia="Verdana" w:hAnsi="Verdana"/>
        <w:b w:val="0"/>
        <w:bCs w:val="0"/>
        <w:i w:val="0"/>
        <w:iCs w:val="0"/>
        <w:smallCaps w:val="0"/>
        <w:strike w:val="0"/>
        <w:shd w:fill="auto" w:val="clear"/>
        <w:vertAlign w:val="baseline"/>
      </w:rPr>
    </w:lvl>
    <w:lvl w:ilvl="1">
      <w:start w:val="1"/>
      <w:numFmt w:val="bullet"/>
      <w:lvlText w:val="o"/>
      <w:lvlJc w:val="left"/>
      <w:pPr>
        <w:ind w:left="1800" w:hanging="360"/>
      </w:pPr>
      <w:rPr>
        <w:rFonts w:ascii="Verdana" w:cs="Verdana" w:eastAsia="Verdana" w:hAnsi="Verdana"/>
        <w:b w:val="0"/>
        <w:bCs w:val="0"/>
        <w:i w:val="0"/>
        <w:iCs w:val="0"/>
        <w:smallCaps w:val="0"/>
        <w:strike w:val="0"/>
        <w:shd w:fill="auto" w:val="clear"/>
        <w:vertAlign w:val="baseline"/>
      </w:rPr>
    </w:lvl>
    <w:lvl w:ilvl="2">
      <w:start w:val="1"/>
      <w:numFmt w:val="bullet"/>
      <w:lvlText w:val="▪"/>
      <w:lvlJc w:val="left"/>
      <w:pPr>
        <w:ind w:left="2520" w:hanging="360"/>
      </w:pPr>
      <w:rPr>
        <w:rFonts w:ascii="Verdana" w:cs="Verdana" w:eastAsia="Verdana" w:hAnsi="Verdana"/>
        <w:b w:val="0"/>
        <w:bCs w:val="0"/>
        <w:i w:val="0"/>
        <w:iCs w:val="0"/>
        <w:smallCaps w:val="0"/>
        <w:strike w:val="0"/>
        <w:shd w:fill="auto" w:val="clear"/>
        <w:vertAlign w:val="baseline"/>
      </w:rPr>
    </w:lvl>
    <w:lvl w:ilvl="3">
      <w:start w:val="1"/>
      <w:numFmt w:val="bullet"/>
      <w:lvlText w:val="●"/>
      <w:lvlJc w:val="left"/>
      <w:pPr>
        <w:ind w:left="3240" w:hanging="360"/>
      </w:pPr>
      <w:rPr>
        <w:rFonts w:ascii="Verdana" w:cs="Verdana" w:eastAsia="Verdana" w:hAnsi="Verdana"/>
        <w:b w:val="0"/>
        <w:bCs w:val="0"/>
        <w:i w:val="0"/>
        <w:iCs w:val="0"/>
        <w:smallCaps w:val="0"/>
        <w:strike w:val="0"/>
        <w:shd w:fill="auto" w:val="clear"/>
        <w:vertAlign w:val="baseline"/>
      </w:rPr>
    </w:lvl>
    <w:lvl w:ilvl="4">
      <w:start w:val="1"/>
      <w:numFmt w:val="bullet"/>
      <w:lvlText w:val="o"/>
      <w:lvlJc w:val="left"/>
      <w:pPr>
        <w:ind w:left="3960" w:hanging="360"/>
      </w:pPr>
      <w:rPr>
        <w:rFonts w:ascii="Verdana" w:cs="Verdana" w:eastAsia="Verdana" w:hAnsi="Verdana"/>
        <w:b w:val="0"/>
        <w:bCs w:val="0"/>
        <w:i w:val="0"/>
        <w:iCs w:val="0"/>
        <w:smallCaps w:val="0"/>
        <w:strike w:val="0"/>
        <w:shd w:fill="auto" w:val="clear"/>
        <w:vertAlign w:val="baseline"/>
      </w:rPr>
    </w:lvl>
    <w:lvl w:ilvl="5">
      <w:start w:val="1"/>
      <w:numFmt w:val="bullet"/>
      <w:lvlText w:val="▪"/>
      <w:lvlJc w:val="left"/>
      <w:pPr>
        <w:ind w:left="4680" w:hanging="360"/>
      </w:pPr>
      <w:rPr>
        <w:rFonts w:ascii="Verdana" w:cs="Verdana" w:eastAsia="Verdana" w:hAnsi="Verdana"/>
        <w:b w:val="0"/>
        <w:bCs w:val="0"/>
        <w:i w:val="0"/>
        <w:iCs w:val="0"/>
        <w:smallCaps w:val="0"/>
        <w:strike w:val="0"/>
        <w:shd w:fill="auto" w:val="clear"/>
        <w:vertAlign w:val="baseline"/>
      </w:rPr>
    </w:lvl>
    <w:lvl w:ilvl="6">
      <w:start w:val="1"/>
      <w:numFmt w:val="bullet"/>
      <w:lvlText w:val="●"/>
      <w:lvlJc w:val="left"/>
      <w:pPr>
        <w:ind w:left="5400" w:hanging="360"/>
      </w:pPr>
      <w:rPr>
        <w:rFonts w:ascii="Verdana" w:cs="Verdana" w:eastAsia="Verdana" w:hAnsi="Verdana"/>
        <w:b w:val="0"/>
        <w:bCs w:val="0"/>
        <w:i w:val="0"/>
        <w:iCs w:val="0"/>
        <w:smallCaps w:val="0"/>
        <w:strike w:val="0"/>
        <w:shd w:fill="auto" w:val="clear"/>
        <w:vertAlign w:val="baseline"/>
      </w:rPr>
    </w:lvl>
    <w:lvl w:ilvl="7">
      <w:start w:val="1"/>
      <w:numFmt w:val="bullet"/>
      <w:lvlText w:val="o"/>
      <w:lvlJc w:val="left"/>
      <w:pPr>
        <w:ind w:left="6120" w:hanging="360"/>
      </w:pPr>
      <w:rPr>
        <w:rFonts w:ascii="Verdana" w:cs="Verdana" w:eastAsia="Verdana" w:hAnsi="Verdana"/>
        <w:b w:val="0"/>
        <w:bCs w:val="0"/>
        <w:i w:val="0"/>
        <w:iCs w:val="0"/>
        <w:smallCaps w:val="0"/>
        <w:strike w:val="0"/>
        <w:shd w:fill="auto" w:val="clear"/>
        <w:vertAlign w:val="baseline"/>
      </w:rPr>
    </w:lvl>
    <w:lvl w:ilvl="8">
      <w:start w:val="1"/>
      <w:numFmt w:val="bullet"/>
      <w:lvlText w:val="▪"/>
      <w:lvlJc w:val="left"/>
      <w:pPr>
        <w:ind w:left="6840" w:hanging="360"/>
      </w:pPr>
      <w:rPr>
        <w:rFonts w:ascii="Verdana" w:cs="Verdana" w:eastAsia="Verdana" w:hAnsi="Verdana"/>
        <w:b w:val="0"/>
        <w:bCs w:val="0"/>
        <w:i w:val="0"/>
        <w:iCs w:val="0"/>
        <w:smallCaps w:val="0"/>
        <w:strike w:val="0"/>
        <w:shd w:fill="auto" w:val="clear"/>
        <w:vertAlign w:val="baseline"/>
      </w:rPr>
    </w:lvl>
  </w:abstractNum>
  <w:abstractNum w:abstractNumId="6">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7">
    <w:lvl w:ilvl="0">
      <w:start w:val="1"/>
      <w:numFmt w:val="bullet"/>
      <w:lvlText w:val="●"/>
      <w:lvlJc w:val="left"/>
      <w:pPr>
        <w:ind w:left="533" w:hanging="23"/>
      </w:pPr>
      <w:rPr>
        <w:rFonts w:ascii="Helvetica Neue" w:cs="Helvetica Neue" w:eastAsia="Helvetica Neue" w:hAnsi="Helvetica Neue"/>
        <w:b w:val="0"/>
        <w:bCs w:val="0"/>
        <w:i w:val="0"/>
        <w:iCs w:val="0"/>
        <w:smallCaps w:val="0"/>
        <w:strike w:val="0"/>
        <w:sz w:val="20"/>
        <w:szCs w:val="20"/>
        <w:shd w:fill="auto" w:val="clear"/>
        <w:vertAlign w:val="baseline"/>
      </w:rPr>
    </w:lvl>
    <w:lvl w:ilvl="1">
      <w:start w:val="1"/>
      <w:numFmt w:val="bullet"/>
      <w:lvlText w:val="●"/>
      <w:lvlJc w:val="left"/>
      <w:pPr>
        <w:ind w:left="109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2">
      <w:start w:val="1"/>
      <w:numFmt w:val="bullet"/>
      <w:lvlText w:val="●"/>
      <w:lvlJc w:val="left"/>
      <w:pPr>
        <w:ind w:left="181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3">
      <w:start w:val="1"/>
      <w:numFmt w:val="bullet"/>
      <w:lvlText w:val="●"/>
      <w:lvlJc w:val="left"/>
      <w:pPr>
        <w:ind w:left="253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4">
      <w:start w:val="1"/>
      <w:numFmt w:val="bullet"/>
      <w:lvlText w:val="●"/>
      <w:lvlJc w:val="left"/>
      <w:pPr>
        <w:ind w:left="325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5">
      <w:start w:val="1"/>
      <w:numFmt w:val="bullet"/>
      <w:lvlText w:val="●"/>
      <w:lvlJc w:val="left"/>
      <w:pPr>
        <w:ind w:left="397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6">
      <w:start w:val="1"/>
      <w:numFmt w:val="bullet"/>
      <w:lvlText w:val="●"/>
      <w:lvlJc w:val="left"/>
      <w:pPr>
        <w:ind w:left="469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7">
      <w:start w:val="1"/>
      <w:numFmt w:val="bullet"/>
      <w:lvlText w:val="●"/>
      <w:lvlJc w:val="left"/>
      <w:pPr>
        <w:ind w:left="5413" w:hanging="223"/>
      </w:pPr>
      <w:rPr>
        <w:rFonts w:ascii="Helvetica Neue" w:cs="Helvetica Neue" w:eastAsia="Helvetica Neue" w:hAnsi="Helvetica Neue"/>
        <w:b w:val="0"/>
        <w:bCs w:val="0"/>
        <w:i w:val="0"/>
        <w:iCs w:val="0"/>
        <w:smallCaps w:val="0"/>
        <w:strike w:val="0"/>
        <w:sz w:val="20"/>
        <w:szCs w:val="20"/>
        <w:shd w:fill="auto" w:val="clear"/>
        <w:vertAlign w:val="baseline"/>
      </w:rPr>
    </w:lvl>
    <w:lvl w:ilvl="8">
      <w:start w:val="1"/>
      <w:numFmt w:val="bullet"/>
      <w:lvlText w:val="●"/>
      <w:lvlJc w:val="left"/>
      <w:pPr>
        <w:ind w:left="6133" w:hanging="223"/>
      </w:pPr>
      <w:rPr>
        <w:rFonts w:ascii="Helvetica Neue" w:cs="Helvetica Neue" w:eastAsia="Helvetica Neue" w:hAnsi="Helvetica Neue"/>
        <w:b w:val="0"/>
        <w:bCs w:val="0"/>
        <w:i w:val="0"/>
        <w:iCs w:val="0"/>
        <w:smallCaps w:val="0"/>
        <w:strike w:val="0"/>
        <w:sz w:val="20"/>
        <w:szCs w:val="2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d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