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KËRKESË PËR OFERTË</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br w:type="textWrapping"/>
        <w:t xml:space="preserve">Numri i Referencës: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00</w:t>
      </w:r>
      <w:r w:rsidDel="00000000" w:rsidR="00000000" w:rsidRPr="00000000">
        <w:rPr>
          <w:rFonts w:ascii="Verdana" w:cs="Verdana" w:eastAsia="Verdana" w:hAnsi="Verdana"/>
          <w:sz w:val="18"/>
          <w:szCs w:val="18"/>
          <w:rtl w:val="0"/>
        </w:rPr>
        <w:t xml:space="preserve">4</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/2025 /FLOSSK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-66705</wp:posOffset>
                </wp:positionH>
                <wp:positionV relativeFrom="paragraph">
                  <wp:posOffset>-42543</wp:posOffset>
                </wp:positionV>
                <wp:extent cx="6009116" cy="50801"/>
                <wp:effectExtent b="0" l="0" r="0" t="0"/>
                <wp:wrapNone/>
                <wp:docPr descr="Straight Arrow Connector 462247236" id="1" name=""/>
                <a:graphic>
                  <a:graphicData uri="http://schemas.microsoft.com/office/word/2010/wordprocessingShape">
                    <wps:wsp>
                      <wps:cNvCnPr/>
                      <wps:spPr>
                        <a:xfrm flipH="1" rot="10800000">
                          <a:off x="2346205" y="3759362"/>
                          <a:ext cx="5999591" cy="41276"/>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-66705</wp:posOffset>
                </wp:positionH>
                <wp:positionV relativeFrom="paragraph">
                  <wp:posOffset>-42543</wp:posOffset>
                </wp:positionV>
                <wp:extent cx="6009116" cy="50801"/>
                <wp:effectExtent b="0" l="0" r="0" t="0"/>
                <wp:wrapNone/>
                <wp:docPr descr="Straight Arrow Connector 462247236" id="1" name="image2.png"/>
                <a:graphic>
                  <a:graphicData uri="http://schemas.openxmlformats.org/drawingml/2006/picture">
                    <pic:pic>
                      <pic:nvPicPr>
                        <pic:cNvPr descr="Straight Arrow Connector 462247236" id="0" name="image2.png"/>
                        <pic:cNvPicPr preferRelativeResize="0"/>
                      </pic:nvPicPr>
                      <pic:blipFill>
                        <a:blip r:embed="rId6"/>
                        <a:srcRect/>
                        <a:stretch>
                          <a:fillRect/>
                        </a:stretch>
                      </pic:blipFill>
                      <pic:spPr>
                        <a:xfrm>
                          <a:off x="0" y="0"/>
                          <a:ext cx="6009116" cy="50801"/>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TITULLI: </w:t>
      </w:r>
      <w:r w:rsidDel="00000000" w:rsidR="00000000" w:rsidRPr="00000000">
        <w:rPr>
          <w:rFonts w:ascii="Verdana" w:cs="Verdana" w:eastAsia="Verdana" w:hAnsi="Verdana"/>
          <w:sz w:val="18"/>
          <w:szCs w:val="18"/>
          <w:rtl w:val="0"/>
        </w:rPr>
        <w:t xml:space="preserve">Ekspert për Strategjinë e Qëndrueshmërisë Financiare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AUTORITETI KONTRAKTUES: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Free Libre Open Source Software Kosova - FLOSSK e financuar nga donatorët vendas dhe ndërkombëtarë.</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bookmarkStart w:colFirst="0" w:colLast="0" w:name="_1m9laovjtutr" w:id="0"/>
      <w:bookmarkEnd w:id="0"/>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Free Libre Open Source Software Kosova - FLOSSK</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është duke implementuar disa projekte të financuara nga donatorë vendorë dhe ndërkombëtarë. Duke pasur parasysh që do të na duhet një ekspert (individ apo kompani) për të ndërtuar dhe zbatuar sisteme që mbështesin ndjekjen dhe menaxhimin e projekteve, duke siguruar efikasitet, transparencë dhe përputhshmëri me kërkesat e donatorëve. FLOSSK fton kompanitë e interesuara të aplikojnë për të ofruar çmimet e tyre sipask kërkesave dhe nevojat e FLOSSK.</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br w:type="textWrapping"/>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Data e Mbylljes: </w:t>
      </w:r>
      <w:r w:rsidDel="00000000" w:rsidR="00000000" w:rsidRPr="00000000">
        <w:rPr>
          <w:rFonts w:ascii="Verdana" w:cs="Verdana" w:eastAsia="Verdana" w:hAnsi="Verdana"/>
          <w:b w:val="1"/>
          <w:bCs w:val="1"/>
          <w:sz w:val="18"/>
          <w:szCs w:val="18"/>
          <w:rtl w:val="0"/>
        </w:rPr>
        <w:t xml:space="preserve">Dhjetor</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1"/>
          <w:bCs w:val="1"/>
          <w:sz w:val="18"/>
          <w:szCs w:val="18"/>
          <w:rtl w:val="0"/>
        </w:rPr>
        <w:t xml:space="preserve">15</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2025 17:00 (CET)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Të nderuar zotëri / Zonjë,</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Ju lutemi të na jepni një ofertë për </w:t>
      </w:r>
      <w:r w:rsidDel="00000000" w:rsidR="00000000" w:rsidRPr="00000000">
        <w:rPr>
          <w:rFonts w:ascii="Verdana" w:cs="Verdana" w:eastAsia="Verdana" w:hAnsi="Verdana"/>
          <w:b w:val="1"/>
          <w:bCs w:val="1"/>
          <w:i w:val="0"/>
          <w:iCs w:val="0"/>
          <w:smallCaps w:val="0"/>
          <w:strike w:val="0"/>
          <w:color w:val="000000"/>
          <w:sz w:val="18"/>
          <w:szCs w:val="18"/>
          <w:u w:val="single"/>
          <w:shd w:fill="auto" w:val="clear"/>
          <w:vertAlign w:val="baseline"/>
          <w:rtl w:val="0"/>
        </w:rPr>
        <w:t xml:space="preserve">Ekspert </w:t>
      </w:r>
      <w:r w:rsidDel="00000000" w:rsidR="00000000" w:rsidRPr="00000000">
        <w:rPr>
          <w:rFonts w:ascii="Verdana" w:cs="Verdana" w:eastAsia="Verdana" w:hAnsi="Verdana"/>
          <w:b w:val="1"/>
          <w:bCs w:val="1"/>
          <w:sz w:val="18"/>
          <w:szCs w:val="18"/>
          <w:u w:val="single"/>
          <w:rtl w:val="0"/>
        </w:rPr>
        <w:t xml:space="preserve">për Strategjinë e Qëndrueshmërisë Financiare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të specifikuara në tabelën më poshtë.</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4"/>
          <w:szCs w:val="14"/>
          <w:u w:val="none"/>
          <w:shd w:fill="auto" w:val="clear"/>
          <w:vertAlign w:val="baseline"/>
        </w:rPr>
      </w:pPr>
      <w:bookmarkStart w:colFirst="0" w:colLast="0" w:name="_5b030fe6qjid" w:id="1"/>
      <w:bookmarkEnd w:id="1"/>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bCs w:val="0"/>
          <w:i w:val="1"/>
          <w:iCs w:val="1"/>
          <w:smallCaps w:val="0"/>
          <w:strike w:val="0"/>
          <w:color w:val="000000"/>
          <w:sz w:val="14"/>
          <w:szCs w:val="14"/>
          <w:u w:val="none"/>
          <w:shd w:fill="auto" w:val="clear"/>
          <w:vertAlign w:val="baseline"/>
          <w:rtl w:val="0"/>
        </w:rPr>
        <w:t xml:space="preserve">*Ju lutemi tregoni çmimin për secilën artikul/shërbiml në listë.</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4"/>
          <w:szCs w:val="14"/>
          <w:u w:val="none"/>
          <w:shd w:fill="auto" w:val="clear"/>
          <w:vertAlign w:val="baseline"/>
        </w:rPr>
      </w:pPr>
      <w:r w:rsidDel="00000000" w:rsidR="00000000" w:rsidRPr="00000000">
        <w:rPr>
          <w:rtl w:val="0"/>
        </w:rPr>
      </w:r>
    </w:p>
    <w:tbl>
      <w:tblPr>
        <w:tblStyle w:val="Table1"/>
        <w:tblW w:w="8853.999999999998"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422"/>
        <w:gridCol w:w="2151"/>
        <w:gridCol w:w="2253"/>
        <w:gridCol w:w="2028"/>
        <w:tblGridChange w:id="0">
          <w:tblGrid>
            <w:gridCol w:w="2422"/>
            <w:gridCol w:w="2151"/>
            <w:gridCol w:w="2253"/>
            <w:gridCol w:w="2028"/>
          </w:tblGrid>
        </w:tblGridChange>
      </w:tblGrid>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Produkti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Ditë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Data e Synuar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Çmimi</w:t>
            </w:r>
            <w:r w:rsidDel="00000000" w:rsidR="00000000" w:rsidRPr="00000000">
              <w:rPr>
                <w:rtl w:val="0"/>
              </w:rPr>
            </w:r>
          </w:p>
        </w:tc>
      </w:tr>
      <w:tr>
        <w:trPr>
          <w:cantSplit w:val="0"/>
          <w:trHeight w:val="7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Analiza e donatorëve dhe mundësive të financimit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Janar</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202</w:t>
            </w:r>
            <w:r w:rsidDel="00000000" w:rsidR="00000000" w:rsidRPr="00000000">
              <w:rPr>
                <w:rFonts w:ascii="Verdana" w:cs="Verdana" w:eastAsia="Verdana" w:hAnsi="Verdana"/>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rPr/>
            </w:pP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Draftimi i strategjisë së qëndrueshmërisë &amp; diversifikimit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Shkurt</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202</w:t>
            </w:r>
            <w:r w:rsidDel="00000000" w:rsidR="00000000" w:rsidRPr="00000000">
              <w:rPr>
                <w:rFonts w:ascii="Verdana" w:cs="Verdana" w:eastAsia="Verdana" w:hAnsi="Verdana"/>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rPr/>
            </w:pPr>
            <w:r w:rsidDel="00000000" w:rsidR="00000000" w:rsidRPr="00000000">
              <w:rPr>
                <w:rtl w:val="0"/>
              </w:rPr>
            </w:r>
          </w:p>
        </w:tc>
      </w:tr>
      <w:tr>
        <w:trPr>
          <w:cantSplit w:val="0"/>
          <w:trHeight w:val="7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Integrimi me politikat e qeverisjes dhe finalizimi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Mars</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202</w:t>
            </w:r>
            <w:r w:rsidDel="00000000" w:rsidR="00000000" w:rsidRPr="00000000">
              <w:rPr>
                <w:rFonts w:ascii="Verdana" w:cs="Verdana" w:eastAsia="Verdana" w:hAnsi="Verdana"/>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rPr/>
            </w:pPr>
            <w:r w:rsidDel="00000000" w:rsidR="00000000" w:rsidRPr="00000000">
              <w:rPr>
                <w:rtl w:val="0"/>
              </w:rPr>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Produktet e Pritshme</w:t>
      </w:r>
      <w:r w:rsidDel="00000000" w:rsidR="00000000" w:rsidRPr="00000000">
        <w:rPr>
          <w:rtl w:val="0"/>
        </w:rPr>
      </w:r>
    </w:p>
    <w:p w:rsidR="00000000" w:rsidDel="00000000" w:rsidP="00000000" w:rsidRDefault="00000000" w:rsidRPr="00000000" w14:paraId="00000024">
      <w:pPr>
        <w:numPr>
          <w:ilvl w:val="0"/>
          <w:numId w:val="2"/>
        </w:numPr>
        <w:spacing w:after="0" w:afterAutospacing="0"/>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Raport mbi analizën e donatorëve dhe hartën e mundësive të financimit.</w:t>
      </w:r>
    </w:p>
    <w:p w:rsidR="00000000" w:rsidDel="00000000" w:rsidP="00000000" w:rsidRDefault="00000000" w:rsidRPr="00000000" w14:paraId="00000025">
      <w:pPr>
        <w:numPr>
          <w:ilvl w:val="0"/>
          <w:numId w:val="2"/>
        </w:numPr>
        <w:spacing w:after="0" w:afterAutospacing="0" w:before="0" w:beforeAutospacing="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Draft-Strategjia e Qëndrueshmërisë Financiare.</w:t>
      </w:r>
    </w:p>
    <w:p w:rsidR="00000000" w:rsidDel="00000000" w:rsidP="00000000" w:rsidRDefault="00000000" w:rsidRPr="00000000" w14:paraId="00000026">
      <w:pPr>
        <w:numPr>
          <w:ilvl w:val="0"/>
          <w:numId w:val="2"/>
        </w:numPr>
        <w:spacing w:after="0" w:afterAutospacing="0" w:before="0" w:beforeAutospacing="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Plani për diversifikimin e burimeve të të ardhurave.</w:t>
      </w:r>
    </w:p>
    <w:p w:rsidR="00000000" w:rsidDel="00000000" w:rsidP="00000000" w:rsidRDefault="00000000" w:rsidRPr="00000000" w14:paraId="00000027">
      <w:pPr>
        <w:numPr>
          <w:ilvl w:val="0"/>
          <w:numId w:val="2"/>
        </w:numPr>
        <w:spacing w:after="240" w:before="0" w:beforeAutospacing="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Dokumenti final i strategjisë i integruar me politikat ekzistuese të qeverisjes së FLOSSK.</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1"/>
          <w:iCs w:val="1"/>
          <w:smallCaps w:val="0"/>
          <w:strike w:val="0"/>
          <w:color w:val="000000"/>
          <w:sz w:val="18"/>
          <w:szCs w:val="18"/>
          <w:u w:val="none"/>
          <w:shd w:fill="auto" w:val="clear"/>
          <w:vertAlign w:val="baseline"/>
          <w:rtl w:val="0"/>
        </w:rPr>
        <w:t xml:space="preserve">Kushtet e ofertimit</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Ofertat duhet te përfshijnë çmimet PA TVSH</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Ofertat duhet të jenë valide së paku </w:t>
      </w:r>
      <w:r w:rsidDel="00000000" w:rsidR="00000000" w:rsidRPr="00000000">
        <w:rPr>
          <w:rFonts w:ascii="Verdana" w:cs="Verdana" w:eastAsia="Verdana" w:hAnsi="Verdana"/>
          <w:b w:val="0"/>
          <w:bCs w:val="0"/>
          <w:i w:val="1"/>
          <w:iCs w:val="1"/>
          <w:smallCaps w:val="0"/>
          <w:strike w:val="0"/>
          <w:color w:val="000000"/>
          <w:sz w:val="18"/>
          <w:szCs w:val="18"/>
          <w:u w:val="single"/>
          <w:shd w:fill="auto" w:val="clear"/>
          <w:vertAlign w:val="baseline"/>
          <w:rtl w:val="0"/>
        </w:rPr>
        <w:t xml:space="preserve">60</w:t>
      </w: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 ditë pas datës se dorëzimit</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CV ose profili i kompanisë me referenca (opsionale)</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Certifikata e regjistrimit të biznesit (nëse është kompani)</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Me anë të plotësimit dhe nënshkrimit të kësaj oferte deklaroj se i pranoj kushtet e mëposhtme dhe se si ofertues nuk bie ndesh në asnjë nga kushtet dhe kriteret e përjashtimit të listuara më poshtë.</w:t>
      </w:r>
    </w:p>
    <w:tbl>
      <w:tblPr>
        <w:tblStyle w:val="Table2"/>
        <w:tblW w:w="953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422"/>
        <w:gridCol w:w="7117"/>
        <w:tblGridChange w:id="0">
          <w:tblGrid>
            <w:gridCol w:w="2422"/>
            <w:gridCol w:w="7117"/>
          </w:tblGrid>
        </w:tblGridChange>
      </w:tblGrid>
      <w:tr>
        <w:trPr>
          <w:cantSplit w:val="0"/>
          <w:trHeight w:val="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3.0" w:type="dxa"/>
            </w:tcM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Emri dhe Mbiemri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rPr/>
            </w:pPr>
            <w:r w:rsidDel="00000000" w:rsidR="00000000" w:rsidRPr="00000000">
              <w:rPr>
                <w:rtl w:val="0"/>
              </w:rPr>
            </w:r>
          </w:p>
        </w:tc>
      </w:tr>
      <w:tr>
        <w:trPr>
          <w:cantSplit w:val="0"/>
          <w:trHeight w:val="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Emri i Kompanisë</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2">
            <w:pPr>
              <w:rPr/>
            </w:pPr>
            <w:r w:rsidDel="00000000" w:rsidR="00000000" w:rsidRPr="00000000">
              <w:rPr>
                <w:rtl w:val="0"/>
              </w:rPr>
            </w:r>
          </w:p>
        </w:tc>
      </w:tr>
      <w:tr>
        <w:trPr>
          <w:cantSplit w:val="0"/>
          <w:trHeight w:val="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7.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NUI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rPr/>
            </w:pPr>
            <w:r w:rsidDel="00000000" w:rsidR="00000000" w:rsidRPr="00000000">
              <w:rPr>
                <w:rtl w:val="0"/>
              </w:rPr>
            </w:r>
          </w:p>
        </w:tc>
      </w:tr>
      <w:tr>
        <w:trPr>
          <w:cantSplit w:val="0"/>
          <w:trHeight w:val="11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7.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Nënshkrimi dhe Vula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28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6.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Data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8">
            <w:pPr>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br w:type="textWrapping"/>
        <w:t xml:space="preserve">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*Bashkëngjit, portofolion e kompanisë dhe dokumentet e tjera te kërkuara ne këtë thirrje.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Eksperti do të angazhohet për </w:t>
      </w:r>
      <w:r w:rsidDel="00000000" w:rsidR="00000000" w:rsidRPr="00000000">
        <w:rPr>
          <w:rFonts w:ascii="Verdana" w:cs="Verdana" w:eastAsia="Verdana" w:hAnsi="Verdana"/>
          <w:b w:val="1"/>
          <w:bCs w:val="1"/>
          <w:sz w:val="20"/>
          <w:szCs w:val="20"/>
          <w:rtl w:val="0"/>
        </w:rPr>
        <w:t xml:space="preserve">20 ditë</w:t>
      </w:r>
      <w:r w:rsidDel="00000000" w:rsidR="00000000" w:rsidRPr="00000000">
        <w:rPr>
          <w:rFonts w:ascii="Verdana" w:cs="Verdana" w:eastAsia="Verdana" w:hAnsi="Verdana"/>
          <w:sz w:val="20"/>
          <w:szCs w:val="20"/>
          <w:rtl w:val="0"/>
        </w:rPr>
        <w:t xml:space="preserve"> gjatë tre muajve për të kryer analizën, draftimin dhe integrimin e strategjisë.</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F">
      <w:pPr>
        <w:spacing w:after="240" w:befor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Detyrat kryesore:</w:t>
      </w:r>
    </w:p>
    <w:p w:rsidR="00000000" w:rsidDel="00000000" w:rsidP="00000000" w:rsidRDefault="00000000" w:rsidRPr="00000000" w14:paraId="00000050">
      <w:pPr>
        <w:numPr>
          <w:ilvl w:val="0"/>
          <w:numId w:val="1"/>
        </w:numPr>
        <w:spacing w:after="0" w:afterAutospacing="0" w:before="240" w:lineRule="auto"/>
        <w:ind w:left="720" w:hanging="360"/>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Analiza e Donatorëve (5 ditë):</w:t>
      </w:r>
      <w:r w:rsidDel="00000000" w:rsidR="00000000" w:rsidRPr="00000000">
        <w:rPr>
          <w:rFonts w:ascii="Verdana" w:cs="Verdana" w:eastAsia="Verdana" w:hAnsi="Verdana"/>
          <w:sz w:val="20"/>
          <w:szCs w:val="20"/>
          <w:rtl w:val="0"/>
        </w:rPr>
        <w:t xml:space="preserve"> Hulumtimi i peizazhit të financimit lokal dhe ndërkombëtar, identifikimi i donatorëve potencialë që përputhen me misionin e FLOSSK.</w:t>
      </w:r>
    </w:p>
    <w:p w:rsidR="00000000" w:rsidDel="00000000" w:rsidP="00000000" w:rsidRDefault="00000000" w:rsidRPr="00000000" w14:paraId="00000051">
      <w:pPr>
        <w:numPr>
          <w:ilvl w:val="0"/>
          <w:numId w:val="1"/>
        </w:numPr>
        <w:spacing w:after="0" w:afterAutospacing="0" w:before="0" w:beforeAutospacing="0" w:lineRule="auto"/>
        <w:ind w:left="720" w:hanging="360"/>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Draftimi i Strategjisë (10 ditë):</w:t>
      </w:r>
      <w:r w:rsidDel="00000000" w:rsidR="00000000" w:rsidRPr="00000000">
        <w:rPr>
          <w:rFonts w:ascii="Verdana" w:cs="Verdana" w:eastAsia="Verdana" w:hAnsi="Verdana"/>
          <w:sz w:val="20"/>
          <w:szCs w:val="20"/>
          <w:rtl w:val="0"/>
        </w:rPr>
        <w:t xml:space="preserve"> Zhvillimi i strategjisë për diversifikimin e të ardhurave (shërbime, grante, sponsorizime) dhe krijimi i planit të veprimit për mbledhjen e fondeve.</w:t>
      </w:r>
    </w:p>
    <w:p w:rsidR="00000000" w:rsidDel="00000000" w:rsidP="00000000" w:rsidRDefault="00000000" w:rsidRPr="00000000" w14:paraId="00000052">
      <w:pPr>
        <w:numPr>
          <w:ilvl w:val="0"/>
          <w:numId w:val="1"/>
        </w:numPr>
        <w:spacing w:after="240" w:before="0" w:beforeAutospacing="0" w:lineRule="auto"/>
        <w:ind w:left="720" w:hanging="360"/>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Integrimi me Politikat (5 ditë):</w:t>
      </w:r>
      <w:r w:rsidDel="00000000" w:rsidR="00000000" w:rsidRPr="00000000">
        <w:rPr>
          <w:rFonts w:ascii="Verdana" w:cs="Verdana" w:eastAsia="Verdana" w:hAnsi="Verdana"/>
          <w:sz w:val="20"/>
          <w:szCs w:val="20"/>
          <w:rtl w:val="0"/>
        </w:rPr>
        <w:t xml:space="preserve"> Sigurimi që strategjia financiare është në përputhje të plotë me politikat e qeverisjes dhe strukturat e brendshme të FLOSSK.</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1"/>
          <w:iCs w:val="1"/>
          <w:smallCaps w:val="0"/>
          <w:strike w:val="0"/>
          <w:color w:val="000000"/>
          <w:sz w:val="18"/>
          <w:szCs w:val="18"/>
          <w:u w:val="none"/>
          <w:shd w:fill="auto" w:val="clear"/>
          <w:vertAlign w:val="baseline"/>
          <w:rtl w:val="0"/>
        </w:rPr>
        <w:t xml:space="preserve">*Platforma duhet të jetë 100% open-source dhe e vendosur në serverat e FLOSSK-ut ose infrastrukturë të dedikuar me akses të kontrolluar.</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Kualifikimet:</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Minimum 5 vite përvojë në ngritje fondesh (fundraising), zhvillim biznesi ose menaxhim financiar strategjik për OJQ.</w:t>
      </w:r>
    </w:p>
    <w:p w:rsidR="00000000" w:rsidDel="00000000" w:rsidP="00000000" w:rsidRDefault="00000000" w:rsidRPr="00000000" w14:paraId="0000005A">
      <w:pPr>
        <w:numPr>
          <w:ilvl w:val="0"/>
          <w:numId w:val="9"/>
        </w:numPr>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Njohuri të thella mbi tregun e donatorëve në Kosovë dhe rajon.</w:t>
      </w:r>
    </w:p>
    <w:p w:rsidR="00000000" w:rsidDel="00000000" w:rsidP="00000000" w:rsidRDefault="00000000" w:rsidRPr="00000000" w14:paraId="0000005B">
      <w:pPr>
        <w:numPr>
          <w:ilvl w:val="0"/>
          <w:numId w:val="9"/>
        </w:numPr>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Aftësi të dëshmuara në hartimin e planeve strategjike dhe modeleve të qëndrueshmërisë.</w:t>
      </w:r>
    </w:p>
    <w:p w:rsidR="00000000" w:rsidDel="00000000" w:rsidP="00000000" w:rsidRDefault="00000000" w:rsidRPr="00000000" w14:paraId="0000005C">
      <w:pPr>
        <w:numPr>
          <w:ilvl w:val="0"/>
          <w:numId w:val="9"/>
        </w:numPr>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Aftësi analitike dhe të shkrimit të raporteve strategjike.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Metoda e Dorëzimit</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Dorëzimi elektronik i</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ofertave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Adresa për dorëzimin e ofertave: </w:t>
      </w:r>
      <w:r w:rsidDel="00000000" w:rsidR="00000000" w:rsidRPr="00000000">
        <w:rPr>
          <w:rFonts w:ascii="Verdana" w:cs="Verdana" w:eastAsia="Verdana" w:hAnsi="Verdana"/>
          <w:b w:val="0"/>
          <w:bCs w:val="0"/>
          <w:i w:val="0"/>
          <w:iCs w:val="0"/>
          <w:smallCaps w:val="0"/>
          <w:strike w:val="0"/>
          <w:color w:val="1155cc"/>
          <w:sz w:val="18"/>
          <w:szCs w:val="18"/>
          <w:u w:val="single"/>
          <w:shd w:fill="auto" w:val="clear"/>
          <w:vertAlign w:val="baseline"/>
          <w:rtl w:val="0"/>
        </w:rPr>
        <w:t xml:space="preserve">procurement@flossk.org</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Udhëzimet e përgjithshme të tenderit:</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origjinale duhet të dorëzohet në postën elektronike:</w:t>
      </w:r>
      <w:r w:rsidDel="00000000" w:rsidR="00000000" w:rsidRPr="00000000">
        <w:rPr>
          <w:rFonts w:ascii="Verdana" w:cs="Verdana" w:eastAsia="Verdana" w:hAnsi="Verdana"/>
          <w:b w:val="0"/>
          <w:bCs w:val="0"/>
          <w:i w:val="0"/>
          <w:iCs w:val="0"/>
          <w:smallCaps w:val="0"/>
          <w:strike w:val="0"/>
          <w:color w:val="1155cc"/>
          <w:sz w:val="18"/>
          <w:szCs w:val="18"/>
          <w:u w:val="single"/>
          <w:shd w:fill="auto" w:val="clear"/>
          <w:vertAlign w:val="baseline"/>
          <w:rtl w:val="0"/>
        </w:rPr>
        <w:t xml:space="preserve"> procurement@flossk.org</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tregojë Furnizimin e (Produktit ose Shërbimit), (Emri i Kompanisë), (FLOSSK 2025) dhe të vuloset.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Ofertuesit duhet të paraqesin të gjitha dokumentet e nevojshme për të mbështetur ofertën e tyre.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Ofertuesit do të jenë përgjegjës për paraqitjen e ofertave gjatë orarit të punës tek adresa e caktuar.</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Para zgjedhjes përfundimtare, ofertuesve mund t'u kërkohet të japin informacion shtesë që mund të konsiderohet i nevojshëm për të vlerësuar më tej ofertat.</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Të drejtat e rezervuara:</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Të gjitha ofertat bëhen pronë e FLOSSK dhe FLOSSK rezervon të drejtën në diskrecionin e saj për:</w:t>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mund ta anulojë këtë Kërkesë për Ofertë në çdo kohë. FLOSSK rezervon të drejtën të refuzojë ndonjë apo të gjitha ofertat e marra.</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rezervon të drejtën për heqje dorë ndaj çdo devijimi të ofertuesit sipas specifikacioneve të kërkuara, që sipas mendimit të FLOSSK-së konsiderohen të mos jenë defekte materiale që kërkojnë refuzim ose diskualifikim; ose kur një heqje dorë e tillë do të nxisë konkurrencë në rritje.</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Zgjatë afatin për dorëzimin e të gjitha përgjigjeve të kësaj thirrje për ofertë pas njoftimit të të gjithë ofertuesve.</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Përfundojë ose modifikojë procesin e thirrjes për ofertë në çdo kohë dhe ri-lëshojë thirrjen për ofertë për këdo që FLOSSK e gjykon të përshtatshme.</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rezervon të drejtën për të dhënë një kontratë bazuar në vlerësimin fillestar të ofertave pa diskutim.</w:t>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Të shpërblejë vetëm pjesë të aktiviteteve në shpallje ose dhënien e shpërblimeve të shumëfishta në bazë të aktiviteteve të shpallura.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Njoftimi për ndryshimet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Ofertuesit do të njoftohen me shkrim për çdo ndryshim në specifikimet e përfshira në këtë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E drejta e Refuzimit dhe sqarimit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FLOSSK rezervon të drejtën të hedhë poshtë të gjitha ofertat e marra dhe të kërkojë sqarime për çdo informacion nga çdo Ofertues.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Kërkesa për informacion shtesë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Para zgjedhjes përfundimtare, ofertuesve mund t'u kërkohet të japin informacion shtesë që mund të konsiderohet i nevojshëm për të vlerësuar më tej ofertat.</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1"/>
          <w:bCs w:val="1"/>
          <w:i w:val="0"/>
          <w:iCs w:val="0"/>
          <w:smallCaps w:val="0"/>
          <w:strike w:val="0"/>
          <w:color w:val="000000"/>
          <w:sz w:val="18"/>
          <w:szCs w:val="18"/>
          <w:u w:val="singl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single"/>
          <w:shd w:fill="auto" w:val="clear"/>
          <w:vertAlign w:val="baseline"/>
          <w:rtl w:val="0"/>
        </w:rPr>
        <w:t xml:space="preserve">Kriteret e vlerësimit janë çmimi më i ulët dhe kualiteti i ofruar duke përmbushur specifikimet e përmendura.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1"/>
          <w:bCs w:val="1"/>
          <w:i w:val="0"/>
          <w:iCs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Vlerësimi i Ofertave</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Ofertat do të vlerësohen nga një Komitet Zgjedhor.</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përmbajë të gjitha informacionet dhe specifikimet përkatëse në përputhje me këtë Kërkesë të Ofertës:</w:t>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përmbajë kopje të certifikatave të regjistrimit të biznesit;</w:t>
      </w:r>
    </w:p>
    <w:p w:rsidR="00000000" w:rsidDel="00000000" w:rsidP="00000000" w:rsidRDefault="00000000" w:rsidRPr="00000000" w14:paraId="000000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Portofolion e kompanisë dhe ekzemplarë (Online) të materialeve të ngjashme të përgatitura nga kompania e juaj (nëse ka).</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përfshijë çmimet e njësive në Euro;</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Për disa projekte të organizatës që janë të përjashtuar nga TVSH-ja disa të tjera që përjashtohen nga të gjitha taksat e aplikueshme në Kosovë, nga kompania fituese do të kërkohet të bëjë fatura pa këto taksa.</w:t>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rezervon të drejtën të refuzojë ndonjë ose të gjitha ofertat e marra.</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Kriteret e Vlerësimit</w:t>
      </w:r>
    </w:p>
    <w:p w:rsidR="00000000" w:rsidDel="00000000" w:rsidP="00000000" w:rsidRDefault="00000000" w:rsidRPr="00000000" w14:paraId="0000008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Propozimi teknik &amp; metodologjia – 30%</w:t>
      </w:r>
    </w:p>
    <w:p w:rsidR="00000000" w:rsidDel="00000000" w:rsidP="00000000" w:rsidRDefault="00000000" w:rsidRPr="00000000" w14:paraId="0000008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Përvoja dhe kualifikimet – 30%</w:t>
      </w:r>
    </w:p>
    <w:p w:rsidR="00000000" w:rsidDel="00000000" w:rsidP="00000000" w:rsidRDefault="00000000" w:rsidRPr="00000000" w14:paraId="0000008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Oferta financiare – 40%</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Shënim</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51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Ju lutem vini re se me dorëzimin e ofertës, ofertuesi kupton se Donatori nuk është palë në këtë kërkesë dhe ofertuesi pajtohet që çdo shkresë në vijim duhet të paraqitet - me shkrim me shpjegime të plota – vetëm tek FLOSSK. </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51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mund të kërkojë sqarime nga ofertuesit e zgjedhur - deri në dy ose tre herë prezantim me gojë ose përgjigje me shkrim - shtjellim më specifik dhe fushëveprim më i detajuar i punës bazuar në një fushë të përgjithshme të punës nën thirrjen origjinale.</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51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ka të drejtë të anulojë një thirrje, ose të anulojë një kontratë paraprake përpara nënshkrimit të një urdhri blerjeje për shkak të ndonjë ndryshimi të paparashikuar.</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Kriteret e përjashtimit nga procedura (Të përcaktuara nga dokumenti i BE-së për procedura dhe udhëzime praktike (prag).</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Një operator ekonomik do të përjashtohet nga pjesëmarrja në procedurat e prokurimit dhe grantit nëse:</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i falimentuar, i nënshtrohet procedurave të falimentimit ose të likuidimit, ku aktivitetet e tij janë të administruar nga një likuidues ose nga një gjykatë, ku ai është në një marrëveshje me kreditorët, ku aktivitetet e tij të biznesit pezullohen ose kur është në ndonjë situatë analoge që del nga procedura të ngjashme të parashikuara në ligjet ose rregulloret kombëtare;</w:t>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vendim të formës së prerë ose me vendim administrativ të formës së prerë që operatori ekonomik është në kundërshtim me detyrimet e tij lidhur me pagesën e taksave ose sigurimeve shoqërore dhe kontributet në përputhje me ligjin e vendit në të cilin është themeluar, me ato të vendit në të cilin është vendosur autoriteti kontraktues ose ato të vendit të kryerjes se kontratës;</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vendim të formës së prerë ose me vendim administrativ të formës së prerë që operatori ekonomik është fajtor për sjellje të keqe profesionale të rëndë duke shkelur ligjet në fuqi ose rregulloret ose standardet etike të profesionit të cilit i përket operatori ekonomik, ose duke u angazhuar në çdo sjellje të gabuar që ka një ndikim në besueshmërinë e tij profesionale kur sjellja e tillë nënkupton një qëllim të gabuar ose neglizhencë të rëndë, duke përfshirë, në veçanti, ndonjë të përmendur poshtë:</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me mashtrim apo me neglizhim paraqesin informacionin e kërkuar për verifikim, mungesa e arsyeve për përjashtim ose përmbushja e kritereve të përzgjedhjes në kryerjen e një kontrate;</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duke hyrë në marrëveshje me operatorë të tjerë ekonomik me qëllim të shtrembërimit të konkurrencës;</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shkelje e të drejtave të pronësisë intelektuale;</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duke tentuar të ndikojë në procesin e vendimmarrjes së autoritetit kontraktues gjatë procedurës së prokurimit;</w:t>
        <w:tab/>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duke u përpjekur për të marrë informacion konfidencial që mund t'i japë atyre avantazhe të padrejta në procedurën e prokurimit;</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aktgjykim të formës së prerë se operatori ekonomik është fajtor për cilëndo prej tyre në vazhdim:</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mashtrim, brenda kuptimit të nenit 1 të Konventës për mbrojtjen e Evropës</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Interesat financiare të komuniteteve të hartuara nga Akti i Këshillit i datës 26 korrik 199517;</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(ii) korrupsion, siç përcaktohet në nenin 3 të Konventës për luftën kundër korrupsionit duke përfshirë zyrtarët e Komuniteteve Europiane ose zyrtarët e Shteteve Anëtare të Bashkimi Evropian, i hartuar nga Akti i Këshillit i 26 Majit 199718, dhe në Nenin 2 (1) të Ligjit të Këshillit Vendimin Kornizë të Këshillit 2003/568 / JHA, si dhe korrupsionin siç përcaktohet në ligjin e vendit ku është vendosur autoriteti kontraktues, vendi në të cilin operatori ekonomik është themeluar ose vendi i ekzekutimit të kontratës;</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pjesëmarrje në një organizatë kriminale, siç përcaktohet në Nenin 2 të Kornizës së Këshillit Vendimi 2008/841/JHA;</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pastrimit të parave ose financimit të terrorizmit, siç përcaktohet në Nenin 1 të Direktivës 2005/60 / EC të Parlamenti Evropian dhe Këshilli 21;</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veprat penale të lidhura me gabime ose veprat penale të lidhura me aktivitetet terroriste, siç përcaktohet në nenet 1 dhe 3 të Vendimit Kornizë të Këshillit 2002/475/JHA, respektivisht, ose nxitjen, ndihmën ose inkurajimin ose përpjekje për të kryer vepra të tilla, siç referohet në nenin 4 të atij vendimi kornizë;</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punës së fëmijëve ose formave të tjera të trafikimit të qenieve njerëzore siç përcaktohet në nenin 2 të Direktivës 2011/36 / BE të Parlamentit Evropian dhe të Këshillit;</w:t>
        <w:tab/>
        <w:br w:type="textWrapping"/>
        <w:t xml:space="preserve">operatori ekonomik ka treguar mangësi të konsiderueshme në përmbushjen e detyrimeve kryesore në kryerjen e një kontrate të financuar nga BE, e cila ka çuar në përfundimin e saj të hershëm ose për zbatimin e dëmeve të likuiduara ose dënimeve të tjera kontraktuale ose që ka qenë zbuluar në vijim kontrollë, ose hetime nga një zyrtar autorizues, OLAF ose Gjykata e Auditorëve;</w:t>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vendim të formës së prerë, ose me vendim të formës së prerë administrative që operatori ekonomik ka kryer një parregullsi brenda kuptimit të nenit 1 (2) të Këshillit Rregullorja (KE, Euratom) Nr. 2988/95124.</w:t>
        <w:tab/>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Në rastet e përmendura në pikat (c), (d) dhe (f) në mungesë të aktgjykimit të formës së prerë ose vendimit përfundimtar administrativ, ose në rastin e përmendur në pikën (e), kur autoriteti kontraktues disponon fakte të themelimit apo gjetjeve të tjera, ajo përjashton një operator ekonomik në bazë të një klasifikimi paraprak të ligjit duke pasur parasysh rekomandimin e një paneli të pavarur për të siguruar një vlerësim të centralizuar të këtyre situatave.</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Në menaxhimin indirekt, sipas rastit së marrëveshjes së financimit ose të delegimit korrespondent, autoriteti kontraktues do të transmetojë informacionin për Komisionin, dhe Komisionin do t'i referohet çështjes panelit.</w:t>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Autoriteti kontraktues do të përjashtojë operatorin ekonomik kur një person i cili është anëtar i organit administrativ, menaxhues ose mbikëqyrës ose ka fuqi për përfaqësim, vendim ose kontroll mbi operatorin ekonomik është në një situatë të renditur në pikat (c), (d), (e) ose (f). Kjo vlen edhe për personin fizik ose juridik që merr përgjegjësi të pakufizuar për borxhet e atij operatori ekonomik është në një gjendja e shënuar në pikat (a) ose (b).</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Pika (a) nuk zbatohet për blerjen e furnizimeve me kushte veçanërisht të favorshme nga ose a furnizuesi i cili përfundon përfundimisht aktivitetet e tij të biznesit ose nga likuiduesit e një falimentimi, nëpërmjet një marrëveshje me kreditorët, ose nëpërmjet një procedure të ngjashme sipas ligjit kombëtar.</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76" w:lineRule="auto"/>
        <w:ind w:left="840" w:right="0" w:hanging="68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Autoriteti kontraktues nuk do të përjashtojë një operator ekonomik kur mund ta tregojë atë se a janë miratuar masa adekuate që sigurojnë besueshmërinë e saj, përveç rasteve të renditura në pikën (d), kur është e domosdoshme për vazhdimësinë e shërbimit për një kohëzgjatje të kufizuar dhe në pritje të miratimin e masave përmirësuese, ku përjashtimi do të ishte jo-proporcional</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Informacione më të hollësishme:</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Për kompanitë e interesuara, të gjitha pyetjet e tjera sqaruese mund të bëhen përmes postës elektronike procurement@flossk.org.</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FLOSSK nuk merr përgjegjësi për të kompensuar çdo kosto të bërë nga kompanitë ose individët kur përgatisin oferta.</w:t>
      </w: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777" w:top="1440" w:left="1440" w:right="839"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tl w:val="0"/>
      </w:rPr>
      <w:t xml:space="preserve">Page </w:t>
    </w: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tl w:val="0"/>
      </w:rPr>
      <w:t xml:space="preserve"> of </w:t>
    </w: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4914265</wp:posOffset>
          </wp:positionH>
          <wp:positionV relativeFrom="page">
            <wp:posOffset>316865</wp:posOffset>
          </wp:positionV>
          <wp:extent cx="1781175" cy="479425"/>
          <wp:effectExtent b="0" l="0" r="0" t="0"/>
          <wp:wrapNone/>
          <wp:docPr descr="A black background with a black square&#10;&#10;AI-generated content may be incorrect." id="3" name="image1.png"/>
          <a:graphic>
            <a:graphicData uri="http://schemas.openxmlformats.org/drawingml/2006/picture">
              <pic:pic>
                <pic:nvPicPr>
                  <pic:cNvPr descr="A black background with a black square&#10;&#10;AI-generated content may be incorrect." id="0" name="image1.png"/>
                  <pic:cNvPicPr preferRelativeResize="0"/>
                </pic:nvPicPr>
                <pic:blipFill>
                  <a:blip r:embed="rId1"/>
                  <a:srcRect b="0" l="0" r="0" t="0"/>
                  <a:stretch>
                    <a:fillRect/>
                  </a:stretch>
                </pic:blipFill>
                <pic:spPr>
                  <a:xfrm>
                    <a:off x="0" y="0"/>
                    <a:ext cx="1781175" cy="479425"/>
                  </a:xfrm>
                  <a:prstGeom prst="rect"/>
                  <a:ln/>
                </pic:spPr>
              </pic:pic>
            </a:graphicData>
          </a:graphic>
        </wp:anchor>
      </w:drawing>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955357</wp:posOffset>
              </wp:positionH>
              <wp:positionV relativeFrom="page">
                <wp:posOffset>453072</wp:posOffset>
              </wp:positionV>
              <wp:extent cx="3640788" cy="357505"/>
              <wp:effectExtent b="0" l="0" r="0" t="0"/>
              <wp:wrapNone/>
              <wp:docPr descr="Rectangle 462247235" id="2" name=""/>
              <a:graphic>
                <a:graphicData uri="http://schemas.microsoft.com/office/word/2010/wordprocessingShape">
                  <wps:wsp>
                    <wps:cNvSpPr/>
                    <wps:cNvPr id="3" name="Shape 3"/>
                    <wps:spPr>
                      <a:xfrm>
                        <a:off x="3530369" y="3606010"/>
                        <a:ext cx="3631263" cy="3479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FLOSSK, me numër të regjistrimit (5112343-3) dhe numër fiskal: 601010911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FLOSSK, with registration no (5112343-3) and Fiscal No: 601010911</w:t>
                          </w:r>
                        </w:p>
                      </w:txbxContent>
                    </wps:txbx>
                    <wps:bodyPr anchorCtr="0" anchor="t" bIns="45700" lIns="45700" spcFirstLastPara="1" rIns="45700"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page">
                <wp:posOffset>955357</wp:posOffset>
              </wp:positionH>
              <wp:positionV relativeFrom="page">
                <wp:posOffset>453072</wp:posOffset>
              </wp:positionV>
              <wp:extent cx="3640788" cy="357505"/>
              <wp:effectExtent b="0" l="0" r="0" t="0"/>
              <wp:wrapNone/>
              <wp:docPr descr="Rectangle 462247235" id="2" name="image3.png"/>
              <a:graphic>
                <a:graphicData uri="http://schemas.openxmlformats.org/drawingml/2006/picture">
                  <pic:pic>
                    <pic:nvPicPr>
                      <pic:cNvPr descr="Rectangle 462247235" id="0" name="image3.png"/>
                      <pic:cNvPicPr preferRelativeResize="0"/>
                    </pic:nvPicPr>
                    <pic:blipFill>
                      <a:blip r:embed="rId2"/>
                      <a:srcRect/>
                      <a:stretch>
                        <a:fillRect/>
                      </a:stretch>
                    </pic:blipFill>
                    <pic:spPr>
                      <a:xfrm>
                        <a:off x="0" y="0"/>
                        <a:ext cx="3640788" cy="357505"/>
                      </a:xfrm>
                      <a:prstGeom prst="rect"/>
                      <a:ln/>
                    </pic:spPr>
                  </pic:pic>
                </a:graphicData>
              </a:graphic>
            </wp:anchor>
          </w:drawing>
        </mc:Fallback>
      </mc:AlternateConten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51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
      <w:lvlJc w:val="left"/>
      <w:pPr>
        <w:ind w:left="123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195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3">
      <w:start w:val="1"/>
      <w:numFmt w:val="bullet"/>
      <w:lvlText w:val="●"/>
      <w:lvlJc w:val="left"/>
      <w:pPr>
        <w:ind w:left="267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4">
      <w:start w:val="1"/>
      <w:numFmt w:val="bullet"/>
      <w:lvlText w:val="●"/>
      <w:lvlJc w:val="left"/>
      <w:pPr>
        <w:ind w:left="339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5">
      <w:start w:val="1"/>
      <w:numFmt w:val="bullet"/>
      <w:lvlText w:val="●"/>
      <w:lvlJc w:val="left"/>
      <w:pPr>
        <w:ind w:left="411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6">
      <w:start w:val="1"/>
      <w:numFmt w:val="bullet"/>
      <w:lvlText w:val="●"/>
      <w:lvlJc w:val="left"/>
      <w:pPr>
        <w:ind w:left="483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7">
      <w:start w:val="1"/>
      <w:numFmt w:val="bullet"/>
      <w:lvlText w:val="●"/>
      <w:lvlJc w:val="left"/>
      <w:pPr>
        <w:ind w:left="555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8">
      <w:start w:val="1"/>
      <w:numFmt w:val="bullet"/>
      <w:lvlText w:val="●"/>
      <w:lvlJc w:val="left"/>
      <w:pPr>
        <w:ind w:left="6270" w:firstLine="0"/>
      </w:pPr>
      <w:rPr>
        <w:rFonts w:ascii="Helvetica Neue" w:cs="Helvetica Neue" w:eastAsia="Helvetica Neue" w:hAnsi="Helvetica Neue"/>
        <w:b w:val="0"/>
        <w:bCs w:val="0"/>
        <w:i w:val="0"/>
        <w:iCs w:val="0"/>
        <w:smallCaps w:val="0"/>
        <w:strike w:val="0"/>
        <w:sz w:val="20"/>
        <w:szCs w:val="20"/>
        <w:shd w:fill="auto" w:val="clear"/>
        <w:vertAlign w:val="baseline"/>
      </w:rPr>
    </w:lvl>
  </w:abstractNum>
  <w:abstractNum w:abstractNumId="4">
    <w:lvl w:ilvl="0">
      <w:start w:val="1"/>
      <w:numFmt w:val="bullet"/>
      <w:lvlText w:val="-"/>
      <w:lvlJc w:val="left"/>
      <w:pPr>
        <w:ind w:left="720" w:hanging="360"/>
      </w:pPr>
      <w:rPr>
        <w:rFonts w:ascii="Calibri" w:cs="Calibri" w:eastAsia="Calibri" w:hAnsi="Calibri"/>
        <w:b w:val="0"/>
        <w:bCs w:val="0"/>
        <w:i w:val="0"/>
        <w:iCs w:val="0"/>
        <w:smallCaps w:val="0"/>
        <w:strike w:val="0"/>
        <w:shd w:fill="auto" w:val="clear"/>
        <w:vertAlign w:val="baseline"/>
      </w:rPr>
    </w:lvl>
    <w:lvl w:ilvl="1">
      <w:start w:val="1"/>
      <w:numFmt w:val="bullet"/>
      <w:lvlText w:val="o"/>
      <w:lvlJc w:val="left"/>
      <w:pPr>
        <w:ind w:left="1440" w:hanging="360"/>
      </w:pPr>
      <w:rPr>
        <w:rFonts w:ascii="Calibri" w:cs="Calibri" w:eastAsia="Calibri" w:hAnsi="Calibri"/>
        <w:b w:val="0"/>
        <w:bCs w:val="0"/>
        <w:i w:val="0"/>
        <w:iCs w:val="0"/>
        <w:smallCaps w:val="0"/>
        <w:strike w:val="0"/>
        <w:shd w:fill="auto" w:val="clear"/>
        <w:vertAlign w:val="baseline"/>
      </w:rPr>
    </w:lvl>
    <w:lvl w:ilvl="2">
      <w:start w:val="1"/>
      <w:numFmt w:val="bullet"/>
      <w:lvlText w:val="▪"/>
      <w:lvlJc w:val="left"/>
      <w:pPr>
        <w:ind w:left="2160" w:hanging="360"/>
      </w:pPr>
      <w:rPr>
        <w:rFonts w:ascii="Calibri" w:cs="Calibri" w:eastAsia="Calibri" w:hAnsi="Calibri"/>
        <w:b w:val="0"/>
        <w:bCs w:val="0"/>
        <w:i w:val="0"/>
        <w:iCs w:val="0"/>
        <w:smallCaps w:val="0"/>
        <w:strike w:val="0"/>
        <w:shd w:fill="auto" w:val="clear"/>
        <w:vertAlign w:val="baseline"/>
      </w:rPr>
    </w:lvl>
    <w:lvl w:ilvl="3">
      <w:start w:val="1"/>
      <w:numFmt w:val="bullet"/>
      <w:lvlText w:val="●"/>
      <w:lvlJc w:val="left"/>
      <w:pPr>
        <w:ind w:left="2880" w:hanging="360"/>
      </w:pPr>
      <w:rPr>
        <w:rFonts w:ascii="Calibri" w:cs="Calibri" w:eastAsia="Calibri" w:hAnsi="Calibri"/>
        <w:b w:val="0"/>
        <w:bCs w:val="0"/>
        <w:i w:val="0"/>
        <w:iCs w:val="0"/>
        <w:smallCaps w:val="0"/>
        <w:strike w:val="0"/>
        <w:shd w:fill="auto" w:val="clear"/>
        <w:vertAlign w:val="baseline"/>
      </w:rPr>
    </w:lvl>
    <w:lvl w:ilvl="4">
      <w:start w:val="1"/>
      <w:numFmt w:val="bullet"/>
      <w:lvlText w:val="o"/>
      <w:lvlJc w:val="left"/>
      <w:pPr>
        <w:ind w:left="3600" w:hanging="360"/>
      </w:pPr>
      <w:rPr>
        <w:rFonts w:ascii="Calibri" w:cs="Calibri" w:eastAsia="Calibri" w:hAnsi="Calibri"/>
        <w:b w:val="0"/>
        <w:bCs w:val="0"/>
        <w:i w:val="0"/>
        <w:iCs w:val="0"/>
        <w:smallCaps w:val="0"/>
        <w:strike w:val="0"/>
        <w:shd w:fill="auto" w:val="clear"/>
        <w:vertAlign w:val="baseline"/>
      </w:rPr>
    </w:lvl>
    <w:lvl w:ilvl="5">
      <w:start w:val="1"/>
      <w:numFmt w:val="bullet"/>
      <w:lvlText w:val="▪"/>
      <w:lvlJc w:val="left"/>
      <w:pPr>
        <w:ind w:left="4320" w:hanging="360"/>
      </w:pPr>
      <w:rPr>
        <w:rFonts w:ascii="Calibri" w:cs="Calibri" w:eastAsia="Calibri" w:hAnsi="Calibri"/>
        <w:b w:val="0"/>
        <w:bCs w:val="0"/>
        <w:i w:val="0"/>
        <w:iCs w:val="0"/>
        <w:smallCaps w:val="0"/>
        <w:strike w:val="0"/>
        <w:shd w:fill="auto" w:val="clear"/>
        <w:vertAlign w:val="baseline"/>
      </w:rPr>
    </w:lvl>
    <w:lvl w:ilvl="6">
      <w:start w:val="1"/>
      <w:numFmt w:val="bullet"/>
      <w:lvlText w:val="●"/>
      <w:lvlJc w:val="left"/>
      <w:pPr>
        <w:ind w:left="5040" w:hanging="360"/>
      </w:pPr>
      <w:rPr>
        <w:rFonts w:ascii="Calibri" w:cs="Calibri" w:eastAsia="Calibri" w:hAnsi="Calibri"/>
        <w:b w:val="0"/>
        <w:bCs w:val="0"/>
        <w:i w:val="0"/>
        <w:iCs w:val="0"/>
        <w:smallCaps w:val="0"/>
        <w:strike w:val="0"/>
        <w:shd w:fill="auto" w:val="clear"/>
        <w:vertAlign w:val="baseline"/>
      </w:rPr>
    </w:lvl>
    <w:lvl w:ilvl="7">
      <w:start w:val="1"/>
      <w:numFmt w:val="bullet"/>
      <w:lvlText w:val="o"/>
      <w:lvlJc w:val="left"/>
      <w:pPr>
        <w:ind w:left="5760" w:hanging="360"/>
      </w:pPr>
      <w:rPr>
        <w:rFonts w:ascii="Calibri" w:cs="Calibri" w:eastAsia="Calibri" w:hAnsi="Calibri"/>
        <w:b w:val="0"/>
        <w:bCs w:val="0"/>
        <w:i w:val="0"/>
        <w:iCs w:val="0"/>
        <w:smallCaps w:val="0"/>
        <w:strike w:val="0"/>
        <w:shd w:fill="auto" w:val="clear"/>
        <w:vertAlign w:val="baseline"/>
      </w:rPr>
    </w:lvl>
    <w:lvl w:ilvl="8">
      <w:start w:val="1"/>
      <w:numFmt w:val="bullet"/>
      <w:lvlText w:val="▪"/>
      <w:lvlJc w:val="left"/>
      <w:pPr>
        <w:ind w:left="6480" w:hanging="360"/>
      </w:pPr>
      <w:rPr>
        <w:rFonts w:ascii="Calibri" w:cs="Calibri" w:eastAsia="Calibri" w:hAnsi="Calibri"/>
        <w:b w:val="0"/>
        <w:bCs w:val="0"/>
        <w:i w:val="0"/>
        <w:iCs w:val="0"/>
        <w:smallCaps w:val="0"/>
        <w:strike w:val="0"/>
        <w:shd w:fill="auto" w:val="clear"/>
        <w:vertAlign w:val="baseline"/>
      </w:rPr>
    </w:lvl>
  </w:abstractNum>
  <w:abstractNum w:abstractNumId="5">
    <w:lvl w:ilvl="0">
      <w:start w:val="1"/>
      <w:numFmt w:val="bullet"/>
      <w:lvlText w:val="-"/>
      <w:lvlJc w:val="left"/>
      <w:pPr>
        <w:ind w:left="1080" w:hanging="360"/>
      </w:pPr>
      <w:rPr>
        <w:rFonts w:ascii="Verdana" w:cs="Verdana" w:eastAsia="Verdana" w:hAnsi="Verdana"/>
        <w:b w:val="0"/>
        <w:bCs w:val="0"/>
        <w:i w:val="0"/>
        <w:iCs w:val="0"/>
        <w:smallCaps w:val="0"/>
        <w:strike w:val="0"/>
        <w:shd w:fill="auto" w:val="clear"/>
        <w:vertAlign w:val="baseline"/>
      </w:rPr>
    </w:lvl>
    <w:lvl w:ilvl="1">
      <w:start w:val="1"/>
      <w:numFmt w:val="bullet"/>
      <w:lvlText w:val="o"/>
      <w:lvlJc w:val="left"/>
      <w:pPr>
        <w:ind w:left="1800" w:hanging="360"/>
      </w:pPr>
      <w:rPr>
        <w:rFonts w:ascii="Verdana" w:cs="Verdana" w:eastAsia="Verdana" w:hAnsi="Verdana"/>
        <w:b w:val="0"/>
        <w:bCs w:val="0"/>
        <w:i w:val="0"/>
        <w:iCs w:val="0"/>
        <w:smallCaps w:val="0"/>
        <w:strike w:val="0"/>
        <w:shd w:fill="auto" w:val="clear"/>
        <w:vertAlign w:val="baseline"/>
      </w:rPr>
    </w:lvl>
    <w:lvl w:ilvl="2">
      <w:start w:val="1"/>
      <w:numFmt w:val="bullet"/>
      <w:lvlText w:val="▪"/>
      <w:lvlJc w:val="left"/>
      <w:pPr>
        <w:ind w:left="2520" w:hanging="360"/>
      </w:pPr>
      <w:rPr>
        <w:rFonts w:ascii="Verdana" w:cs="Verdana" w:eastAsia="Verdana" w:hAnsi="Verdana"/>
        <w:b w:val="0"/>
        <w:bCs w:val="0"/>
        <w:i w:val="0"/>
        <w:iCs w:val="0"/>
        <w:smallCaps w:val="0"/>
        <w:strike w:val="0"/>
        <w:shd w:fill="auto" w:val="clear"/>
        <w:vertAlign w:val="baseline"/>
      </w:rPr>
    </w:lvl>
    <w:lvl w:ilvl="3">
      <w:start w:val="1"/>
      <w:numFmt w:val="bullet"/>
      <w:lvlText w:val="●"/>
      <w:lvlJc w:val="left"/>
      <w:pPr>
        <w:ind w:left="3240" w:hanging="360"/>
      </w:pPr>
      <w:rPr>
        <w:rFonts w:ascii="Verdana" w:cs="Verdana" w:eastAsia="Verdana" w:hAnsi="Verdana"/>
        <w:b w:val="0"/>
        <w:bCs w:val="0"/>
        <w:i w:val="0"/>
        <w:iCs w:val="0"/>
        <w:smallCaps w:val="0"/>
        <w:strike w:val="0"/>
        <w:shd w:fill="auto" w:val="clear"/>
        <w:vertAlign w:val="baseline"/>
      </w:rPr>
    </w:lvl>
    <w:lvl w:ilvl="4">
      <w:start w:val="1"/>
      <w:numFmt w:val="bullet"/>
      <w:lvlText w:val="o"/>
      <w:lvlJc w:val="left"/>
      <w:pPr>
        <w:ind w:left="3960" w:hanging="360"/>
      </w:pPr>
      <w:rPr>
        <w:rFonts w:ascii="Verdana" w:cs="Verdana" w:eastAsia="Verdana" w:hAnsi="Verdana"/>
        <w:b w:val="0"/>
        <w:bCs w:val="0"/>
        <w:i w:val="0"/>
        <w:iCs w:val="0"/>
        <w:smallCaps w:val="0"/>
        <w:strike w:val="0"/>
        <w:shd w:fill="auto" w:val="clear"/>
        <w:vertAlign w:val="baseline"/>
      </w:rPr>
    </w:lvl>
    <w:lvl w:ilvl="5">
      <w:start w:val="1"/>
      <w:numFmt w:val="bullet"/>
      <w:lvlText w:val="▪"/>
      <w:lvlJc w:val="left"/>
      <w:pPr>
        <w:ind w:left="4680" w:hanging="360"/>
      </w:pPr>
      <w:rPr>
        <w:rFonts w:ascii="Verdana" w:cs="Verdana" w:eastAsia="Verdana" w:hAnsi="Verdana"/>
        <w:b w:val="0"/>
        <w:bCs w:val="0"/>
        <w:i w:val="0"/>
        <w:iCs w:val="0"/>
        <w:smallCaps w:val="0"/>
        <w:strike w:val="0"/>
        <w:shd w:fill="auto" w:val="clear"/>
        <w:vertAlign w:val="baseline"/>
      </w:rPr>
    </w:lvl>
    <w:lvl w:ilvl="6">
      <w:start w:val="1"/>
      <w:numFmt w:val="bullet"/>
      <w:lvlText w:val="●"/>
      <w:lvlJc w:val="left"/>
      <w:pPr>
        <w:ind w:left="5400" w:hanging="360"/>
      </w:pPr>
      <w:rPr>
        <w:rFonts w:ascii="Verdana" w:cs="Verdana" w:eastAsia="Verdana" w:hAnsi="Verdana"/>
        <w:b w:val="0"/>
        <w:bCs w:val="0"/>
        <w:i w:val="0"/>
        <w:iCs w:val="0"/>
        <w:smallCaps w:val="0"/>
        <w:strike w:val="0"/>
        <w:shd w:fill="auto" w:val="clear"/>
        <w:vertAlign w:val="baseline"/>
      </w:rPr>
    </w:lvl>
    <w:lvl w:ilvl="7">
      <w:start w:val="1"/>
      <w:numFmt w:val="bullet"/>
      <w:lvlText w:val="o"/>
      <w:lvlJc w:val="left"/>
      <w:pPr>
        <w:ind w:left="6120" w:hanging="360"/>
      </w:pPr>
      <w:rPr>
        <w:rFonts w:ascii="Verdana" w:cs="Verdana" w:eastAsia="Verdana" w:hAnsi="Verdana"/>
        <w:b w:val="0"/>
        <w:bCs w:val="0"/>
        <w:i w:val="0"/>
        <w:iCs w:val="0"/>
        <w:smallCaps w:val="0"/>
        <w:strike w:val="0"/>
        <w:shd w:fill="auto" w:val="clear"/>
        <w:vertAlign w:val="baseline"/>
      </w:rPr>
    </w:lvl>
    <w:lvl w:ilvl="8">
      <w:start w:val="1"/>
      <w:numFmt w:val="bullet"/>
      <w:lvlText w:val="▪"/>
      <w:lvlJc w:val="left"/>
      <w:pPr>
        <w:ind w:left="6840" w:hanging="360"/>
      </w:pPr>
      <w:rPr>
        <w:rFonts w:ascii="Verdana" w:cs="Verdana" w:eastAsia="Verdana" w:hAnsi="Verdana"/>
        <w:b w:val="0"/>
        <w:bCs w:val="0"/>
        <w:i w:val="0"/>
        <w:iCs w:val="0"/>
        <w:smallCaps w:val="0"/>
        <w:strike w:val="0"/>
        <w:shd w:fill="auto" w:val="clear"/>
        <w:vertAlign w:val="baseline"/>
      </w:rPr>
    </w:lvl>
  </w:abstractNum>
  <w:abstractNum w:abstractNumId="6">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7">
    <w:lvl w:ilvl="0">
      <w:start w:val="1"/>
      <w:numFmt w:val="bullet"/>
      <w:lvlText w:val="●"/>
      <w:lvlJc w:val="left"/>
      <w:pPr>
        <w:ind w:left="533" w:hanging="23"/>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
      <w:lvlJc w:val="left"/>
      <w:pPr>
        <w:ind w:left="109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181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3">
      <w:start w:val="1"/>
      <w:numFmt w:val="bullet"/>
      <w:lvlText w:val="●"/>
      <w:lvlJc w:val="left"/>
      <w:pPr>
        <w:ind w:left="253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4">
      <w:start w:val="1"/>
      <w:numFmt w:val="bullet"/>
      <w:lvlText w:val="●"/>
      <w:lvlJc w:val="left"/>
      <w:pPr>
        <w:ind w:left="325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5">
      <w:start w:val="1"/>
      <w:numFmt w:val="bullet"/>
      <w:lvlText w:val="●"/>
      <w:lvlJc w:val="left"/>
      <w:pPr>
        <w:ind w:left="397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6">
      <w:start w:val="1"/>
      <w:numFmt w:val="bullet"/>
      <w:lvlText w:val="●"/>
      <w:lvlJc w:val="left"/>
      <w:pPr>
        <w:ind w:left="469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7">
      <w:start w:val="1"/>
      <w:numFmt w:val="bullet"/>
      <w:lvlText w:val="●"/>
      <w:lvlJc w:val="left"/>
      <w:pPr>
        <w:ind w:left="541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8">
      <w:start w:val="1"/>
      <w:numFmt w:val="bullet"/>
      <w:lvlText w:val="●"/>
      <w:lvlJc w:val="left"/>
      <w:pPr>
        <w:ind w:left="6133" w:hanging="223"/>
      </w:pPr>
      <w:rPr>
        <w:rFonts w:ascii="Helvetica Neue" w:cs="Helvetica Neue" w:eastAsia="Helvetica Neue" w:hAnsi="Helvetica Neue"/>
        <w:b w:val="0"/>
        <w:bCs w:val="0"/>
        <w:i w:val="0"/>
        <w:iCs w:val="0"/>
        <w:smallCaps w:val="0"/>
        <w:strike w:val="0"/>
        <w:sz w:val="20"/>
        <w:szCs w:val="2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d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