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KËRKESË PËR OFERTË</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br w:type="textWrapping"/>
        <w:t xml:space="preserve">Numri i Referencës: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00</w:t>
      </w:r>
      <w:r w:rsidDel="00000000" w:rsidR="00000000" w:rsidRPr="00000000">
        <w:rPr>
          <w:rFonts w:ascii="Verdana" w:cs="Verdana" w:eastAsia="Verdana" w:hAnsi="Verdana"/>
          <w:sz w:val="18"/>
          <w:szCs w:val="18"/>
          <w:rtl w:val="0"/>
        </w:rPr>
        <w:t xml:space="preserve">3</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/2025 /FLOSSK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-66705</wp:posOffset>
                </wp:positionH>
                <wp:positionV relativeFrom="paragraph">
                  <wp:posOffset>-42543</wp:posOffset>
                </wp:positionV>
                <wp:extent cx="6009116" cy="50801"/>
                <wp:effectExtent b="0" l="0" r="0" t="0"/>
                <wp:wrapNone/>
                <wp:docPr descr="Straight Arrow Connector 462247236" id="1" name=""/>
                <a:graphic>
                  <a:graphicData uri="http://schemas.microsoft.com/office/word/2010/wordprocessingShape">
                    <wps:wsp>
                      <wps:cNvCnPr/>
                      <wps:spPr>
                        <a:xfrm flipH="1" rot="10800000">
                          <a:off x="2346205" y="3759362"/>
                          <a:ext cx="5999591" cy="41276"/>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-66705</wp:posOffset>
                </wp:positionH>
                <wp:positionV relativeFrom="paragraph">
                  <wp:posOffset>-42543</wp:posOffset>
                </wp:positionV>
                <wp:extent cx="6009116" cy="50801"/>
                <wp:effectExtent b="0" l="0" r="0" t="0"/>
                <wp:wrapNone/>
                <wp:docPr descr="Straight Arrow Connector 462247236" id="1" name="image2.png"/>
                <a:graphic>
                  <a:graphicData uri="http://schemas.openxmlformats.org/drawingml/2006/picture">
                    <pic:pic>
                      <pic:nvPicPr>
                        <pic:cNvPr descr="Straight Arrow Connector 462247236" id="0" name="image2.png"/>
                        <pic:cNvPicPr preferRelativeResize="0"/>
                      </pic:nvPicPr>
                      <pic:blipFill>
                        <a:blip r:embed="rId6"/>
                        <a:srcRect/>
                        <a:stretch>
                          <a:fillRect/>
                        </a:stretch>
                      </pic:blipFill>
                      <pic:spPr>
                        <a:xfrm>
                          <a:off x="0" y="0"/>
                          <a:ext cx="6009116" cy="50801"/>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TITULLI: </w:t>
      </w:r>
      <w:r w:rsidDel="00000000" w:rsidR="00000000" w:rsidRPr="00000000">
        <w:rPr>
          <w:rFonts w:ascii="Verdana" w:cs="Verdana" w:eastAsia="Verdana" w:hAnsi="Verdana"/>
          <w:sz w:val="18"/>
          <w:szCs w:val="18"/>
          <w:rtl w:val="0"/>
        </w:rPr>
        <w:t xml:space="preserve">Ekspert i Sistemeve dhe Qeverisjes së Brendshme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AUTORITETI KONTRAKTUES: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Free Libre Open Source Software Kosova - FLOSSK e financuar nga donatorët vendas dhe ndërkombëtarë.</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bookmarkStart w:colFirst="0" w:colLast="0" w:name="_1m9laovjtutr" w:id="0"/>
      <w:bookmarkEnd w:id="0"/>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Free Libre Open Source Software Kosova - FLOSSK</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është duke implementuar disa projekte të financuara nga donatorë vendorë dhe ndërkombëtarë. Duke pasur parasysh që do të na duhet një ekspert (individ apo kompani) për të ndërtuar dhe zbatuar sisteme që mbështesin ndjekjen dhe menaxhimin e projekteve, duke siguruar efikasitet, transparencë dhe përputhshmëri me kërkesat e donatorëve. FLOSSK fton kompanitë e interesuara të aplikojnë për të ofruar çmimet e tyre sipask kërkesave dhe nevojat e FLOSSK.</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br w:type="textWrapping"/>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Data e Mbylljes: </w:t>
      </w:r>
      <w:r w:rsidDel="00000000" w:rsidR="00000000" w:rsidRPr="00000000">
        <w:rPr>
          <w:rFonts w:ascii="Verdana" w:cs="Verdana" w:eastAsia="Verdana" w:hAnsi="Verdana"/>
          <w:b w:val="1"/>
          <w:bCs w:val="1"/>
          <w:sz w:val="18"/>
          <w:szCs w:val="18"/>
          <w:rtl w:val="0"/>
        </w:rPr>
        <w:t xml:space="preserve">Dhjetor</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1"/>
          <w:bCs w:val="1"/>
          <w:sz w:val="18"/>
          <w:szCs w:val="18"/>
          <w:rtl w:val="0"/>
        </w:rPr>
        <w:t xml:space="preserve">15</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2025 17:00 (CET)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Të nderuar zotëri / Zonjë,</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Ju lutemi të na jepni një ofertë për </w:t>
      </w:r>
      <w:r w:rsidDel="00000000" w:rsidR="00000000" w:rsidRPr="00000000">
        <w:rPr>
          <w:rFonts w:ascii="Verdana" w:cs="Verdana" w:eastAsia="Verdana" w:hAnsi="Verdana"/>
          <w:b w:val="1"/>
          <w:bCs w:val="1"/>
          <w:i w:val="0"/>
          <w:iCs w:val="0"/>
          <w:smallCaps w:val="0"/>
          <w:strike w:val="0"/>
          <w:color w:val="000000"/>
          <w:sz w:val="18"/>
          <w:szCs w:val="18"/>
          <w:u w:val="single"/>
          <w:shd w:fill="auto" w:val="clear"/>
          <w:vertAlign w:val="baseline"/>
          <w:rtl w:val="0"/>
        </w:rPr>
        <w:t xml:space="preserve">Ekspert i </w:t>
      </w:r>
      <w:r w:rsidDel="00000000" w:rsidR="00000000" w:rsidRPr="00000000">
        <w:rPr>
          <w:rFonts w:ascii="Verdana" w:cs="Verdana" w:eastAsia="Verdana" w:hAnsi="Verdana"/>
          <w:b w:val="1"/>
          <w:bCs w:val="1"/>
          <w:sz w:val="18"/>
          <w:szCs w:val="18"/>
          <w:u w:val="single"/>
          <w:rtl w:val="0"/>
        </w:rPr>
        <w:t xml:space="preserve">Sistemeve dhe Qeverisjes së Brendshme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specifikuara në tabelën më poshtë.</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4"/>
          <w:szCs w:val="14"/>
          <w:u w:val="none"/>
          <w:shd w:fill="auto" w:val="clear"/>
          <w:vertAlign w:val="baseline"/>
        </w:rPr>
      </w:pPr>
      <w:bookmarkStart w:colFirst="0" w:colLast="0" w:name="_5b030fe6qjid" w:id="1"/>
      <w:bookmarkEnd w:id="1"/>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bCs w:val="0"/>
          <w:i w:val="1"/>
          <w:iCs w:val="1"/>
          <w:smallCaps w:val="0"/>
          <w:strike w:val="0"/>
          <w:color w:val="000000"/>
          <w:sz w:val="14"/>
          <w:szCs w:val="14"/>
          <w:u w:val="none"/>
          <w:shd w:fill="auto" w:val="clear"/>
          <w:vertAlign w:val="baseline"/>
          <w:rtl w:val="0"/>
        </w:rPr>
        <w:t xml:space="preserve">*Ju lutemi tregoni çmimin për secilën artikul/shërbiml në listë.</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4"/>
          <w:szCs w:val="14"/>
          <w:u w:val="none"/>
          <w:shd w:fill="auto" w:val="clear"/>
          <w:vertAlign w:val="baseline"/>
        </w:rPr>
      </w:pPr>
      <w:r w:rsidDel="00000000" w:rsidR="00000000" w:rsidRPr="00000000">
        <w:rPr>
          <w:rtl w:val="0"/>
        </w:rPr>
      </w:r>
    </w:p>
    <w:tbl>
      <w:tblPr>
        <w:tblStyle w:val="Table1"/>
        <w:tblW w:w="8853.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422"/>
        <w:gridCol w:w="2151"/>
        <w:gridCol w:w="2253"/>
        <w:gridCol w:w="2028"/>
        <w:tblGridChange w:id="0">
          <w:tblGrid>
            <w:gridCol w:w="2422"/>
            <w:gridCol w:w="2151"/>
            <w:gridCol w:w="2253"/>
            <w:gridCol w:w="2028"/>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Produkti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Ditë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Data e Synuar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Çmimi</w:t>
            </w:r>
            <w:r w:rsidDel="00000000" w:rsidR="00000000" w:rsidRPr="00000000">
              <w:rPr>
                <w:rtl w:val="0"/>
              </w:rPr>
            </w:r>
          </w:p>
        </w:tc>
      </w:tr>
      <w:tr>
        <w:trPr>
          <w:cantSplit w:val="0"/>
          <w:trHeight w:val="7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sz w:val="20"/>
                <w:szCs w:val="20"/>
                <w:rtl w:val="0"/>
              </w:rPr>
              <w:t xml:space="preserve">Sesioni 1:</w:t>
            </w:r>
            <w:r w:rsidDel="00000000" w:rsidR="00000000" w:rsidRPr="00000000">
              <w:rPr>
                <w:rFonts w:ascii="Arial" w:cs="Arial" w:eastAsia="Arial" w:hAnsi="Arial"/>
                <w:sz w:val="20"/>
                <w:szCs w:val="20"/>
                <w:rtl w:val="0"/>
              </w:rPr>
              <w:t xml:space="preserve"> Pilotimi i Politikave të Qeverisjes (Përgatitje, Lehtësim, Raportim)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Dhjetor</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rPr/>
            </w:pP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sz w:val="20"/>
                <w:szCs w:val="20"/>
                <w:rtl w:val="0"/>
              </w:rPr>
              <w:t xml:space="preserve">Sesioni 2:</w:t>
            </w:r>
            <w:r w:rsidDel="00000000" w:rsidR="00000000" w:rsidRPr="00000000">
              <w:rPr>
                <w:rFonts w:ascii="Arial" w:cs="Arial" w:eastAsia="Arial" w:hAnsi="Arial"/>
                <w:sz w:val="20"/>
                <w:szCs w:val="20"/>
                <w:rtl w:val="0"/>
              </w:rPr>
              <w:t xml:space="preserve"> Sistemet e Ndjekjes së Projekteve (Përgatitje, Lehtësim, Raportim)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Janar</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rPr/>
            </w:pPr>
            <w:r w:rsidDel="00000000" w:rsidR="00000000" w:rsidRPr="00000000">
              <w:rPr>
                <w:rtl w:val="0"/>
              </w:rPr>
            </w:r>
          </w:p>
        </w:tc>
      </w:tr>
      <w:tr>
        <w:trPr>
          <w:cantSplit w:val="0"/>
          <w:trHeight w:val="7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sz w:val="20"/>
                <w:szCs w:val="20"/>
                <w:rtl w:val="0"/>
              </w:rPr>
              <w:t xml:space="preserve">Sesioni 3:</w:t>
            </w:r>
            <w:r w:rsidDel="00000000" w:rsidR="00000000" w:rsidRPr="00000000">
              <w:rPr>
                <w:rFonts w:ascii="Arial" w:cs="Arial" w:eastAsia="Arial" w:hAnsi="Arial"/>
                <w:sz w:val="20"/>
                <w:szCs w:val="20"/>
                <w:rtl w:val="0"/>
              </w:rPr>
              <w:t xml:space="preserve"> Strategjitë e Qëndrueshmërisë &amp; Integrimi (Përgatitje, Lehtësim, Raportim)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Janar</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rPr/>
            </w:pPr>
            <w:r w:rsidDel="00000000" w:rsidR="00000000" w:rsidRPr="00000000">
              <w:rPr>
                <w:rtl w:val="0"/>
              </w:rPr>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Produktet e Pritshme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sz w:val="20"/>
          <w:szCs w:val="20"/>
          <w:rtl w:val="0"/>
        </w:rPr>
        <w:t xml:space="preserve">Planifikimi dhe materialet përgatitore për tri sesionet e pilotimit.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Lehtësimi i tri punëtorive (workshops) një-ditore me stafin dhe palët e interesuara.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Raporte pas secilit sesion që përfshijnë feedback-un (reagimet), gjetjet dhe rekomandimet për integrim.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1"/>
          <w:iCs w:val="1"/>
          <w:smallCaps w:val="0"/>
          <w:strike w:val="0"/>
          <w:color w:val="000000"/>
          <w:sz w:val="18"/>
          <w:szCs w:val="18"/>
          <w:u w:val="none"/>
          <w:shd w:fill="auto" w:val="clear"/>
          <w:vertAlign w:val="baseline"/>
          <w:rtl w:val="0"/>
        </w:rPr>
        <w:t xml:space="preserve">Kushtet e ofertimit</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Ofertat duhet te përfshijnë çmimet PA TVSH</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Ofertat duhet të jenë valide së paku </w:t>
      </w:r>
      <w:r w:rsidDel="00000000" w:rsidR="00000000" w:rsidRPr="00000000">
        <w:rPr>
          <w:rFonts w:ascii="Verdana" w:cs="Verdana" w:eastAsia="Verdana" w:hAnsi="Verdana"/>
          <w:b w:val="0"/>
          <w:bCs w:val="0"/>
          <w:i w:val="1"/>
          <w:iCs w:val="1"/>
          <w:smallCaps w:val="0"/>
          <w:strike w:val="0"/>
          <w:color w:val="000000"/>
          <w:sz w:val="18"/>
          <w:szCs w:val="18"/>
          <w:u w:val="single"/>
          <w:shd w:fill="auto" w:val="clear"/>
          <w:vertAlign w:val="baseline"/>
          <w:rtl w:val="0"/>
        </w:rPr>
        <w:t xml:space="preserve">60</w:t>
      </w: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 ditë pas datës se dorëzimit</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CV ose profili i kompanisë me referenca (opsionale)</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Certifikata e regjistrimit të biznesit (nëse është kompani)</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Me anë të plotësimit dhe nënshkrimit të kësaj oferte deklaroj se i pranoj kushtet e mëposhtme dhe se si ofertues nuk bie ndesh në asnjë nga kushtet dhe kriteret e përjashtimit të listuara më poshtë.</w:t>
      </w:r>
    </w:p>
    <w:tbl>
      <w:tblPr>
        <w:tblStyle w:val="Table2"/>
        <w:tblW w:w="953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422"/>
        <w:gridCol w:w="7117"/>
        <w:tblGridChange w:id="0">
          <w:tblGrid>
            <w:gridCol w:w="2422"/>
            <w:gridCol w:w="7117"/>
          </w:tblGrid>
        </w:tblGridChange>
      </w:tblGrid>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3.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Emri dhe Mbiemri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3E">
            <w:pPr>
              <w:rPr/>
            </w:pPr>
            <w:r w:rsidDel="00000000" w:rsidR="00000000" w:rsidRPr="00000000">
              <w:rPr>
                <w:rtl w:val="0"/>
              </w:rPr>
            </w:r>
          </w:p>
        </w:tc>
      </w:tr>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Emri i Kompanisë</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rPr/>
            </w:pPr>
            <w:r w:rsidDel="00000000" w:rsidR="00000000" w:rsidRPr="00000000">
              <w:rPr>
                <w:rtl w:val="0"/>
              </w:rPr>
            </w:r>
          </w:p>
        </w:tc>
      </w:tr>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7.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NUI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rPr/>
            </w:pPr>
            <w:r w:rsidDel="00000000" w:rsidR="00000000" w:rsidRPr="00000000">
              <w:rPr>
                <w:rtl w:val="0"/>
              </w:rPr>
            </w:r>
          </w:p>
        </w:tc>
      </w:tr>
      <w:tr>
        <w:trPr>
          <w:cantSplit w:val="0"/>
          <w:trHeight w:val="11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7.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Nënshkrimi dhe Vula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8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6.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Data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br w:type="textWrapping"/>
        <w:t xml:space="preserve">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*Bashkëngjit, portofolion e kompanisë dhe dokumentet e tjera te kërkuara ne këtë thirrje.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Eksperti do të angazhohet për </w:t>
      </w:r>
      <w:r w:rsidDel="00000000" w:rsidR="00000000" w:rsidRPr="00000000">
        <w:rPr>
          <w:rFonts w:ascii="Verdana" w:cs="Verdana" w:eastAsia="Verdana" w:hAnsi="Verdana"/>
          <w:sz w:val="20"/>
          <w:szCs w:val="20"/>
          <w:rtl w:val="0"/>
        </w:rPr>
        <w:t xml:space="preserve">15</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ditë </w:t>
      </w:r>
      <w:r w:rsidDel="00000000" w:rsidR="00000000" w:rsidRPr="00000000">
        <w:rPr>
          <w:rFonts w:ascii="Verdana" w:cs="Verdana" w:eastAsia="Verdana" w:hAnsi="Verdana"/>
          <w:sz w:val="20"/>
          <w:szCs w:val="20"/>
          <w:rtl w:val="0"/>
        </w:rPr>
        <w:t xml:space="preserve">gjatë tre muajve për të lehtësuar tri sesione pilotimi të brendshme, duke u fokusuar në integrimin e sistemeve dhe ndërtimin e kapaciteteve të stafit.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D">
      <w:pPr>
        <w:spacing w:after="240" w:befor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Struktura e angazhimit për secilin nga tri sesionet (Total 5 ditë për sesion) është:</w:t>
      </w:r>
    </w:p>
    <w:p w:rsidR="00000000" w:rsidDel="00000000" w:rsidP="00000000" w:rsidRDefault="00000000" w:rsidRPr="00000000" w14:paraId="0000004E">
      <w:pPr>
        <w:numPr>
          <w:ilvl w:val="0"/>
          <w:numId w:val="2"/>
        </w:numPr>
        <w:spacing w:after="0" w:afterAutospacing="0" w:befor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Ditë Përgatitje: Analiza e dokumenteve/sistemeve, përgatitja e agjendës dhe materialeve të trajnimit.</w:t>
      </w:r>
    </w:p>
    <w:p w:rsidR="00000000" w:rsidDel="00000000" w:rsidP="00000000" w:rsidRDefault="00000000" w:rsidRPr="00000000" w14:paraId="0000004F">
      <w:pPr>
        <w:numPr>
          <w:ilvl w:val="0"/>
          <w:numId w:val="2"/>
        </w:numPr>
        <w:spacing w:after="0" w:afterAutospacing="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 Ditë Lehtësim: Mbajtja e punëtorisë/sesionit me stafin për testimin dhe pilotimin e proceseve.</w:t>
      </w:r>
    </w:p>
    <w:p w:rsidR="00000000" w:rsidDel="00000000" w:rsidP="00000000" w:rsidRDefault="00000000" w:rsidRPr="00000000" w14:paraId="00000050">
      <w:pPr>
        <w:numPr>
          <w:ilvl w:val="0"/>
          <w:numId w:val="2"/>
        </w:numPr>
        <w:spacing w:after="24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Ditë Feedback &amp; Raportim: Përmbledhja e gjetjeve, përmirësimi i dokumenteve bazuar në pilotim dhe raportimi.</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3">
      <w:pPr>
        <w:spacing w:after="240" w:befor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Tematikat e Sesioneve që do të lehtësohen:</w:t>
      </w:r>
    </w:p>
    <w:p w:rsidR="00000000" w:rsidDel="00000000" w:rsidP="00000000" w:rsidRDefault="00000000" w:rsidRPr="00000000" w14:paraId="00000054">
      <w:pPr>
        <w:numPr>
          <w:ilvl w:val="0"/>
          <w:numId w:val="1"/>
        </w:numPr>
        <w:spacing w:after="0" w:afterAutospacing="0" w:before="240" w:lineRule="auto"/>
        <w:ind w:left="720" w:hanging="360"/>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Politikat e Qeverisjes:</w:t>
      </w:r>
      <w:r w:rsidDel="00000000" w:rsidR="00000000" w:rsidRPr="00000000">
        <w:rPr>
          <w:rFonts w:ascii="Verdana" w:cs="Verdana" w:eastAsia="Verdana" w:hAnsi="Verdana"/>
          <w:sz w:val="20"/>
          <w:szCs w:val="20"/>
          <w:rtl w:val="0"/>
        </w:rPr>
        <w:t xml:space="preserve"> Pilotimi praktik i politikave të reja (Kodi i Etikës, Vendimmarrja, Konflikti i Interesit) për të siguruar që stafi i kupton dhe mund t'i zbatojë ato në praktikë.</w:t>
      </w:r>
    </w:p>
    <w:p w:rsidR="00000000" w:rsidDel="00000000" w:rsidP="00000000" w:rsidRDefault="00000000" w:rsidRPr="00000000" w14:paraId="00000055">
      <w:pPr>
        <w:numPr>
          <w:ilvl w:val="0"/>
          <w:numId w:val="1"/>
        </w:numPr>
        <w:spacing w:after="0" w:afterAutospacing="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Sistemet e Ndjekjes së Projekteve:</w:t>
      </w:r>
      <w:r w:rsidDel="00000000" w:rsidR="00000000" w:rsidRPr="00000000">
        <w:rPr>
          <w:rFonts w:ascii="Verdana" w:cs="Verdana" w:eastAsia="Verdana" w:hAnsi="Verdana"/>
          <w:sz w:val="20"/>
          <w:szCs w:val="20"/>
          <w:rtl w:val="0"/>
        </w:rPr>
        <w:t xml:space="preserve"> Testimi i rrjedhës së punës në platformën open-source, menaxhimi i detyrave dhe raportimi automatik.</w:t>
      </w:r>
    </w:p>
    <w:p w:rsidR="00000000" w:rsidDel="00000000" w:rsidP="00000000" w:rsidRDefault="00000000" w:rsidRPr="00000000" w14:paraId="00000056">
      <w:pPr>
        <w:numPr>
          <w:ilvl w:val="0"/>
          <w:numId w:val="1"/>
        </w:numPr>
        <w:spacing w:after="24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Strategjitë e Qëndrueshmërisë:</w:t>
      </w:r>
      <w:r w:rsidDel="00000000" w:rsidR="00000000" w:rsidRPr="00000000">
        <w:rPr>
          <w:rFonts w:ascii="Verdana" w:cs="Verdana" w:eastAsia="Verdana" w:hAnsi="Verdana"/>
          <w:sz w:val="20"/>
          <w:szCs w:val="20"/>
          <w:rtl w:val="0"/>
        </w:rPr>
        <w:t xml:space="preserve"> Integrimi i strategjive afatgjata në operimet ditore dhe harmonizimi i tyre me politikat financiare dhe ato të programeve.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1"/>
          <w:iCs w:val="1"/>
          <w:smallCaps w:val="0"/>
          <w:strike w:val="0"/>
          <w:color w:val="000000"/>
          <w:sz w:val="18"/>
          <w:szCs w:val="18"/>
          <w:u w:val="none"/>
          <w:shd w:fill="auto" w:val="clear"/>
          <w:vertAlign w:val="baseline"/>
          <w:rtl w:val="0"/>
        </w:rPr>
        <w:t xml:space="preserve">*Platforma duhet të jetë 100% open-source dhe e vendosur në serverat e FLOSSK-ut ose infrastrukturë të dedikuar me akses të kontrolluar.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Kualifikimet: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br w:type="textWrapping"/>
        <w:t xml:space="preserve">• </w:t>
      </w:r>
      <w:r w:rsidDel="00000000" w:rsidR="00000000" w:rsidRPr="00000000">
        <w:rPr>
          <w:rFonts w:ascii="Verdana" w:cs="Verdana" w:eastAsia="Verdana" w:hAnsi="Verdana"/>
          <w:sz w:val="20"/>
          <w:szCs w:val="20"/>
          <w:rtl w:val="0"/>
        </w:rPr>
        <w:t xml:space="preserve">Minimum 3 vite përvojë në lehtësimin e punëtorive, trajnimeve ose menaxhimin e ndryshimeve organizative.</w:t>
      </w:r>
    </w:p>
    <w:p w:rsidR="00000000" w:rsidDel="00000000" w:rsidP="00000000" w:rsidRDefault="00000000" w:rsidRPr="00000000" w14:paraId="0000005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Përvojë e dëshmuar në punën me OJQ dhe kuptim i qeverisjes së brendshme dhe sistemeve operative.</w:t>
      </w:r>
    </w:p>
    <w:p w:rsidR="00000000" w:rsidDel="00000000" w:rsidP="00000000" w:rsidRDefault="00000000" w:rsidRPr="00000000" w14:paraId="0000005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Aftësi të shkëlqyera komunikimi dhe aftësi për të transferuar njohuri (capacity building).</w:t>
      </w:r>
    </w:p>
    <w:p w:rsidR="00000000" w:rsidDel="00000000" w:rsidP="00000000" w:rsidRDefault="00000000" w:rsidRPr="00000000" w14:paraId="0000005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Njohuri mbi metodologjitë e menaxhimit të projekteve dhe planifikimit strategjik.</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Metoda e Dorëzimit</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Dorëzimi elektronik i</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Adresa për dorëzimin e ofertave: </w:t>
      </w:r>
      <w:r w:rsidDel="00000000" w:rsidR="00000000" w:rsidRPr="00000000">
        <w:rPr>
          <w:rFonts w:ascii="Verdana" w:cs="Verdana" w:eastAsia="Verdana" w:hAnsi="Verdana"/>
          <w:b w:val="0"/>
          <w:bCs w:val="0"/>
          <w:i w:val="0"/>
          <w:iCs w:val="0"/>
          <w:smallCaps w:val="0"/>
          <w:strike w:val="0"/>
          <w:color w:val="1155cc"/>
          <w:sz w:val="18"/>
          <w:szCs w:val="18"/>
          <w:u w:val="single"/>
          <w:shd w:fill="auto" w:val="clear"/>
          <w:vertAlign w:val="baseline"/>
          <w:rtl w:val="0"/>
        </w:rPr>
        <w:t xml:space="preserve">procurement@flossk.org</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Udhëzimet e përgjithshme të tenderit:</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origjinale duhet të dorëzohet në postën elektronike:</w:t>
      </w:r>
      <w:r w:rsidDel="00000000" w:rsidR="00000000" w:rsidRPr="00000000">
        <w:rPr>
          <w:rFonts w:ascii="Verdana" w:cs="Verdana" w:eastAsia="Verdana" w:hAnsi="Verdana"/>
          <w:b w:val="0"/>
          <w:bCs w:val="0"/>
          <w:i w:val="0"/>
          <w:iCs w:val="0"/>
          <w:smallCaps w:val="0"/>
          <w:strike w:val="0"/>
          <w:color w:val="1155cc"/>
          <w:sz w:val="18"/>
          <w:szCs w:val="18"/>
          <w:u w:val="single"/>
          <w:shd w:fill="auto" w:val="clear"/>
          <w:vertAlign w:val="baseline"/>
          <w:rtl w:val="0"/>
        </w:rPr>
        <w:t xml:space="preserve"> procurement@flossk.org</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tregojë Furnizimin e (Produktit ose Shërbimit), (Emri i Kompanisë), (FLOSSK 2025) dhe të vuloset.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Ofertuesit duhet të paraqesin të gjitha dokumentet e nevojshme për të mbështetur ofertën e tyre.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Ofertuesit do të jenë përgjegjës për paraqitjen e ofertave gjatë orarit të punës tek adresa e caktuar.</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Para zgjedhjes përfundimtare, ofertuesve mund t'u kërkohet të japin informacion shtesë që mund të konsiderohet i nevojshëm për të vlerësuar më tej ofertat.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Të drejtat e rezervuara:</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gjitha ofertat bëhen pronë e FLOSSK dhe FLOSSK rezervon të drejtën në diskrecionin e saj për:</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mund ta anulojë këtë Kërkesë për Ofertë në çdo kohë. FLOSSK rezervon të drejtën të refuzojë ndonjë apo të gjitha ofertat e marra.</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për heqje dorë ndaj çdo devijimi të ofertuesit sipas specifikacioneve të kërkuara, që sipas mendimit të FLOSSK-së konsiderohen të mos jenë defekte materiale që kërkojnë refuzim ose diskualifikim; ose kur një heqje dorë e tillë do të nxisë konkurrencë në rritje.</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Zgjatë afatin për dorëzimin e të gjitha përgjigjeve të kësaj thirrje për ofertë pas njoftimit të të gjithë ofertuesve.</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Përfundojë ose modifikojë procesin e thirrjes për ofertë në çdo kohë dhe ri-lëshojë thirrjen për ofertë për këdo që FLOSSK e gjykon të përshtatshme.</w:t>
      </w:r>
    </w:p>
    <w:p w:rsidR="00000000" w:rsidDel="00000000" w:rsidP="00000000" w:rsidRDefault="00000000" w:rsidRPr="00000000" w14:paraId="000000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për të dhënë një kontratë bazuar në vlerësimin fillestar të ofertave pa diskutim.</w:t>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shpërblejë vetëm pjesë të aktiviteteve në shpallje ose dhënien e shpërblimeve të shumëfishta në bazë të aktiviteteve të shpallura.</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Njoftimi për ndryshimet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Ofertuesit do të njoftohen me shkrim për çdo ndryshim në specifikimet e përfshira në këtë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E drejta e Refuzimit dhe sqarimit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FLOSSK rezervon të drejtën të hedhë poshtë të gjitha ofertat e marra dhe të kërkojë sqarime për çdo informacion nga çdo Ofertues.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Kërkesa për informacion shtesë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Para zgjedhjes përfundimtare, ofertuesve mund t'u kërkohet të japin informacion shtesë që mund të konsiderohet i nevojshëm për të vlerësuar më tej ofertat.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1"/>
          <w:bCs w:val="1"/>
          <w:i w:val="0"/>
          <w:iCs w:val="0"/>
          <w:smallCaps w:val="0"/>
          <w:strike w:val="0"/>
          <w:color w:val="000000"/>
          <w:sz w:val="18"/>
          <w:szCs w:val="18"/>
          <w:u w:val="singl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single"/>
          <w:shd w:fill="auto" w:val="clear"/>
          <w:vertAlign w:val="baseline"/>
          <w:rtl w:val="0"/>
        </w:rPr>
        <w:t xml:space="preserve">Kriteret e vlerësimit janë çmimi më i ulët dhe kualiteti i ofruar duke përmbushur specifikimet e përmendura.</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1"/>
          <w:bCs w:val="1"/>
          <w:i w:val="0"/>
          <w:iCs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Vlerësimi i Ofertave</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Ofertat do të vlerësohen nga një Komitet Zgjedhor.</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përmbajë të gjitha informacionet dhe specifikimet përkatëse në përputhje me këtë Kërkesë të Ofertës:</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përmbajë kopje të certifikatave të regjistrimit të biznesit;</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Portofolion e kompanisë dhe ekzemplarë (Online) të materialeve të ngjashme të përgatitura nga kompania e juaj (nëse ka).</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përfshijë çmimet e njësive në Euro;</w:t>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 disa projekte të organizatës që janë të përjashtuar nga TVSH-ja disa të tjera që përjashtohen nga të gjitha taksat e aplikueshme në Kosovë, nga kompania fituese do të kërkohet të bëjë fatura pa këto taksa.</w:t>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të refuzojë ndonjë ose të gjitha ofertat e marra.</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Kriteret e Vlerësimit</w:t>
      </w:r>
    </w:p>
    <w:p w:rsidR="00000000" w:rsidDel="00000000" w:rsidP="00000000" w:rsidRDefault="00000000" w:rsidRPr="00000000" w14:paraId="0000008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Propozimi teknik &amp; metodologjia – 30%</w:t>
      </w:r>
    </w:p>
    <w:p w:rsidR="00000000" w:rsidDel="00000000" w:rsidP="00000000" w:rsidRDefault="00000000" w:rsidRPr="00000000" w14:paraId="0000008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Përvoja dhe kualifikimet – 30%</w:t>
      </w:r>
    </w:p>
    <w:p w:rsidR="00000000" w:rsidDel="00000000" w:rsidP="00000000" w:rsidRDefault="00000000" w:rsidRPr="00000000" w14:paraId="0000008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Oferta financiare – 40%</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Shënim</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Ju lutem vini re se me dorëzimin e ofertës, ofertuesi kupton se Donatori nuk është palë në këtë kërkesë dhe ofertuesi pajtohet që çdo shkresë në vijim duhet të paraqitet - me shkrim me shpjegime të plota – vetëm tek FLOSSK. </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mund të kërkojë sqarime nga ofertuesit e zgjedhur - deri në dy ose tre herë prezantim me gojë ose përgjigje me shkrim - shtjellim më specifik dhe fushëveprim më i detajuar i punës bazuar në një fushë të përgjithshme të punës nën thirrjen origjinale.</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ka të drejtë të anulojë një thirrje, ose të anulojë një kontratë paraprake përpara nënshkrimit të një urdhri blerjeje për shkak të ndonjë ndryshimi të paparashikuar.</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Kriteret e përjashtimit nga procedura (Të përcaktuara nga dokumenti i BE-së për procedura dhe udhëzime praktike (prag).</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Një operator ekonomik do të përjashtohet nga pjesëmarrja në procedurat e prokurimit dhe grantit nëse:</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i falimentuar, i nënshtrohet procedurave të falimentimit ose të likuidimit, ku aktivitetet e tij janë të administruar nga një likuidues ose nga një gjykatë, ku ai është në një marrëveshje me kreditorët, ku aktivitetet e tij të biznesit pezullohen ose kur është në ndonjë situatë analoge që del nga procedura të ngjashme të parashikuara në ligjet ose rregulloret kombëtare;</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administrativ të formës së prerë që operatori ekonomik është në kundërshtim me detyrimet e tij lidhur me pagesën e taksave ose sigurimeve shoqërore dhe kontributet në përputhje me ligjin e vendit në të cilin është themeluar, me ato të vendit në të cilin është vendosur autoriteti kontraktues ose ato të vendit të kryerjes se kontratës;</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administrativ të formës së prerë që operatori ekonomik është fajtor për sjellje të keqe profesionale të rëndë duke shkelur ligjet në fuqi ose rregulloret ose standardet etike të profesionit të cilit i përket operatori ekonomik, ose duke u angazhuar në çdo sjellje të gabuar që ka një ndikim në besueshmërinë e tij profesionale kur sjellja e tillë nënkupton një qëllim të gabuar ose neglizhencë të rëndë, duke përfshirë, në veçanti, ndonjë të përmendur poshtë:</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me mashtrim apo me neglizhim paraqesin informacionin e kërkuar për verifikim, mungesa e arsyeve për përjashtim ose përmbushja e kritereve të përzgjedhjes në kryerjen e një kontrate;</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hyrë në marrëveshje me operatorë të tjerë ekonomik me qëllim të shtrembërimit të konkurrencës;</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shkelje e të drejtave të pronësisë intelektuale;</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tentuar të ndikojë në procesin e vendimmarrjes së autoritetit kontraktues gjatë procedurës së prokurimit;</w:t>
        <w:tab/>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u përpjekur për të marrë informacion konfidencial që mund t'i japë atyre avantazhe të padrejta në procedurën e prokurimit;</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aktgjykim të formës së prerë se operatori ekonomik është fajtor për cilëndo prej tyre në vazhdim:</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mashtrim, brenda kuptimit të nenit 1 të Konventës për mbrojtjen e Evropës</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Interesat financiare të komuniteteve të hartuara nga Akti i Këshillit i datës 26 korrik 199517;</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(ii) korrupsion, siç përcaktohet në nenin 3 të Konventës për luftën kundër korrupsionit duke përfshirë zyrtarët e Komuniteteve Europiane ose zyrtarët e Shteteve Anëtare të Bashkimi Evropian, i hartuar nga Akti i Këshillit i 26 Majit 199718, dhe në Nenin 2 (1) të Ligjit të Këshillit Vendimin Kornizë të Këshillit 2003/568 / JHA, si dhe korrupsionin siç përcaktohet në ligjin e vendit ku është vendosur autoriteti kontraktues, vendi në të cilin operatori ekonomik është themeluar ose vendi i ekzekutimit të kontratës;</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pjesëmarrje në një organizatë kriminale, siç përcaktohet në Nenin 2 të Kornizës së Këshillit Vendimi 2008/841/JHA;</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pastrimit të parave ose financimit të terrorizmit, siç përcaktohet në Nenin 1 të Direktivës 2005/60 / EC të Parlamenti Evropian dhe Këshilli 21;</w:t>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veprat penale të lidhura me gabime ose veprat penale të lidhura me aktivitetet terroriste, siç përcaktohet në nenet 1 dhe 3 të Vendimit Kornizë të Këshillit 2002/475/JHA, respektivisht, ose nxitjen, ndihmën ose inkurajimin ose përpjekje për të kryer vepra të tilla, siç referohet në nenin 4 të atij vendimi kornizë;</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punës së fëmijëve ose formave të tjera të trafikimit të qenieve njerëzore siç përcaktohet në nenin 2 të Direktivës 2011/36 / BE të Parlamentit Evropian dhe të Këshillit;</w:t>
        <w:tab/>
        <w:br w:type="textWrapping"/>
        <w:t xml:space="preserve">operatori ekonomik ka treguar mangësi të konsiderueshme në përmbushjen e detyrimeve kryesore në kryerjen e një kontrate të financuar nga BE, e cila ka çuar në përfundimin e saj të hershëm ose për zbatimin e dëmeve të likuiduara ose dënimeve të tjera kontraktuale ose që ka qenë zbuluar në vijim kontrollë, ose hetime nga një zyrtar autorizues, OLAF ose Gjykata e Auditorëve;</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të formës së prerë administrative që operatori ekonomik ka kryer një parregullsi brenda kuptimit të nenit 1 (2) të Këshillit Rregullorja (KE, Euratom) Nr. 2988/95124.</w:t>
        <w:tab/>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Në rastet e përmendura në pikat (c), (d) dhe (f) në mungesë të aktgjykimit të formës së prerë ose vendimit përfundimtar administrativ, ose në rastin e përmendur në pikën (e), kur autoriteti kontraktues disponon fakte të themelimit apo gjetjeve të tjera, ajo përjashton një operator ekonomik në bazë të një klasifikimi paraprak të ligjit duke pasur parasysh rekomandimin e një paneli të pavarur për të siguruar një vlerësim të centralizuar të këtyre situatave.</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Në menaxhimin indirekt, sipas rastit së marrëveshjes së financimit ose të delegimit korrespondent, autoriteti kontraktues do të transmetojë informacionin për Komisionin, dhe Komisionin do t'i referohet çështjes panelit.</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Autoriteti kontraktues do të përjashtojë operatorin ekonomik kur një person i cili është anëtar i organit administrativ, menaxhues ose mbikëqyrës ose ka fuqi për përfaqësim, vendim ose kontroll mbi operatorin ekonomik është në një situatë të renditur në pikat (c), (d), (e) ose (f). Kjo vlen edhe për personin fizik ose juridik që merr përgjegjësi të pakufizuar për borxhet e atij operatori ekonomik është në një gjendja e shënuar në pikat (a) ose (b).</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Pika (a) nuk zbatohet për blerjen e furnizimeve me kushte veçanërisht të favorshme nga ose a furnizuesi i cili përfundon përfundimisht aktivitetet e tij të biznesit ose nga likuiduesit e një falimentimi, nëpërmjet një marrëveshje me kreditorët, ose nëpërmjet një procedure të ngjashme sipas ligjit kombëtar.</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76" w:lineRule="auto"/>
        <w:ind w:left="840" w:right="0" w:hanging="68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Autoriteti kontraktues nuk do të përjashtojë një operator ekonomik kur mund ta tregojë atë se a janë miratuar masa adekuate që sigurojnë besueshmërinë e saj, përveç rasteve të renditura në pikën (d), kur është e domosdoshme për vazhdimësinë e shërbimit për një kohëzgjatje të kufizuar dhe në pritje të miratimin e masave përmirësuese, ku përjashtimi do të ishte jo-proporcional</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Informacione më të hollësishme:</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 kompanitë e interesuara, të gjitha pyetjet e tjera sqaruese mund të bëhen përmes postës elektronike procurement@flossk.org.</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FLOSSK nuk merr përgjegjësi për të kompensuar çdo kosto të bërë nga kompanitë ose individët kur përgatisin oferta.</w:t>
      </w: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777" w:top="1440" w:left="1440" w:right="839"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tl w:val="0"/>
      </w:rPr>
      <w:t xml:space="preserve">Page </w:t>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tl w:val="0"/>
      </w:rPr>
      <w:t xml:space="preserve"> of </w:t>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4914265</wp:posOffset>
          </wp:positionH>
          <wp:positionV relativeFrom="page">
            <wp:posOffset>316865</wp:posOffset>
          </wp:positionV>
          <wp:extent cx="1781175" cy="479425"/>
          <wp:effectExtent b="0" l="0" r="0" t="0"/>
          <wp:wrapNone/>
          <wp:docPr descr="A black background with a black square&#10;&#10;AI-generated content may be incorrect." id="3" name="image1.png"/>
          <a:graphic>
            <a:graphicData uri="http://schemas.openxmlformats.org/drawingml/2006/picture">
              <pic:pic>
                <pic:nvPicPr>
                  <pic:cNvPr descr="A black background with a black square&#10;&#10;AI-generated content may be incorrect." id="0" name="image1.png"/>
                  <pic:cNvPicPr preferRelativeResize="0"/>
                </pic:nvPicPr>
                <pic:blipFill>
                  <a:blip r:embed="rId1"/>
                  <a:srcRect b="0" l="0" r="0" t="0"/>
                  <a:stretch>
                    <a:fillRect/>
                  </a:stretch>
                </pic:blipFill>
                <pic:spPr>
                  <a:xfrm>
                    <a:off x="0" y="0"/>
                    <a:ext cx="1781175" cy="479425"/>
                  </a:xfrm>
                  <a:prstGeom prst="rect"/>
                  <a:ln/>
                </pic:spPr>
              </pic:pic>
            </a:graphicData>
          </a:graphic>
        </wp:anchor>
      </w:drawing>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955357</wp:posOffset>
              </wp:positionH>
              <wp:positionV relativeFrom="page">
                <wp:posOffset>453072</wp:posOffset>
              </wp:positionV>
              <wp:extent cx="3640788" cy="357505"/>
              <wp:effectExtent b="0" l="0" r="0" t="0"/>
              <wp:wrapNone/>
              <wp:docPr descr="Rectangle 462247235" id="2" name=""/>
              <a:graphic>
                <a:graphicData uri="http://schemas.microsoft.com/office/word/2010/wordprocessingShape">
                  <wps:wsp>
                    <wps:cNvSpPr/>
                    <wps:cNvPr id="3" name="Shape 3"/>
                    <wps:spPr>
                      <a:xfrm>
                        <a:off x="3530369" y="3606010"/>
                        <a:ext cx="3631263" cy="3479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FLOSSK, me numër të regjistrimit (5112343-3) dhe numër fiskal: 601010911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FLOSSK, with registration no (5112343-3) and Fiscal No: 601010911</w:t>
                          </w:r>
                        </w:p>
                      </w:txbxContent>
                    </wps:txbx>
                    <wps:bodyPr anchorCtr="0" anchor="t" bIns="45700" lIns="45700" spcFirstLastPara="1" rIns="45700"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page">
                <wp:posOffset>955357</wp:posOffset>
              </wp:positionH>
              <wp:positionV relativeFrom="page">
                <wp:posOffset>453072</wp:posOffset>
              </wp:positionV>
              <wp:extent cx="3640788" cy="357505"/>
              <wp:effectExtent b="0" l="0" r="0" t="0"/>
              <wp:wrapNone/>
              <wp:docPr descr="Rectangle 462247235" id="2" name="image3.png"/>
              <a:graphic>
                <a:graphicData uri="http://schemas.openxmlformats.org/drawingml/2006/picture">
                  <pic:pic>
                    <pic:nvPicPr>
                      <pic:cNvPr descr="Rectangle 462247235" id="0" name="image3.png"/>
                      <pic:cNvPicPr preferRelativeResize="0"/>
                    </pic:nvPicPr>
                    <pic:blipFill>
                      <a:blip r:embed="rId2"/>
                      <a:srcRect/>
                      <a:stretch>
                        <a:fillRect/>
                      </a:stretch>
                    </pic:blipFill>
                    <pic:spPr>
                      <a:xfrm>
                        <a:off x="0" y="0"/>
                        <a:ext cx="3640788" cy="357505"/>
                      </a:xfrm>
                      <a:prstGeom prst="rect"/>
                      <a:ln/>
                    </pic:spPr>
                  </pic:pic>
                </a:graphicData>
              </a:graphic>
            </wp:anchor>
          </w:drawing>
        </mc:Fallback>
      </mc:AlternateConten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1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
      <w:lvlJc w:val="left"/>
      <w:pPr>
        <w:ind w:left="123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195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3">
      <w:start w:val="1"/>
      <w:numFmt w:val="bullet"/>
      <w:lvlText w:val="●"/>
      <w:lvlJc w:val="left"/>
      <w:pPr>
        <w:ind w:left="267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
      <w:lvlJc w:val="left"/>
      <w:pPr>
        <w:ind w:left="339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411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6">
      <w:start w:val="1"/>
      <w:numFmt w:val="bullet"/>
      <w:lvlText w:val="●"/>
      <w:lvlJc w:val="left"/>
      <w:pPr>
        <w:ind w:left="483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
      <w:lvlJc w:val="left"/>
      <w:pPr>
        <w:ind w:left="555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270" w:firstLine="0"/>
      </w:pPr>
      <w:rPr>
        <w:rFonts w:ascii="Helvetica Neue" w:cs="Helvetica Neue" w:eastAsia="Helvetica Neue" w:hAnsi="Helvetica Neue"/>
        <w:b w:val="0"/>
        <w:bCs w:val="0"/>
        <w:i w:val="0"/>
        <w:iCs w:val="0"/>
        <w:smallCaps w:val="0"/>
        <w:strike w:val="0"/>
        <w:sz w:val="20"/>
        <w:szCs w:val="20"/>
        <w:shd w:fill="auto" w:val="clear"/>
        <w:vertAlign w:val="baseline"/>
      </w:rPr>
    </w:lvl>
  </w:abstractNum>
  <w:abstractNum w:abstractNumId="4">
    <w:lvl w:ilvl="0">
      <w:start w:val="1"/>
      <w:numFmt w:val="bullet"/>
      <w:lvlText w:val="-"/>
      <w:lvlJc w:val="left"/>
      <w:pPr>
        <w:ind w:left="720" w:hanging="360"/>
      </w:pPr>
      <w:rPr>
        <w:rFonts w:ascii="Calibri" w:cs="Calibri" w:eastAsia="Calibri" w:hAnsi="Calibri"/>
        <w:b w:val="0"/>
        <w:bCs w:val="0"/>
        <w:i w:val="0"/>
        <w:iCs w:val="0"/>
        <w:smallCaps w:val="0"/>
        <w:strike w:val="0"/>
        <w:shd w:fill="auto" w:val="clear"/>
        <w:vertAlign w:val="baseline"/>
      </w:rPr>
    </w:lvl>
    <w:lvl w:ilvl="1">
      <w:start w:val="1"/>
      <w:numFmt w:val="bullet"/>
      <w:lvlText w:val="o"/>
      <w:lvlJc w:val="left"/>
      <w:pPr>
        <w:ind w:left="1440" w:hanging="360"/>
      </w:pPr>
      <w:rPr>
        <w:rFonts w:ascii="Calibri" w:cs="Calibri" w:eastAsia="Calibri" w:hAnsi="Calibri"/>
        <w:b w:val="0"/>
        <w:bCs w:val="0"/>
        <w:i w:val="0"/>
        <w:iCs w:val="0"/>
        <w:smallCaps w:val="0"/>
        <w:strike w:val="0"/>
        <w:shd w:fill="auto" w:val="clear"/>
        <w:vertAlign w:val="baseline"/>
      </w:rPr>
    </w:lvl>
    <w:lvl w:ilvl="2">
      <w:start w:val="1"/>
      <w:numFmt w:val="bullet"/>
      <w:lvlText w:val="▪"/>
      <w:lvlJc w:val="left"/>
      <w:pPr>
        <w:ind w:left="2160" w:hanging="360"/>
      </w:pPr>
      <w:rPr>
        <w:rFonts w:ascii="Calibri" w:cs="Calibri" w:eastAsia="Calibri" w:hAnsi="Calibri"/>
        <w:b w:val="0"/>
        <w:bCs w:val="0"/>
        <w:i w:val="0"/>
        <w:iCs w:val="0"/>
        <w:smallCaps w:val="0"/>
        <w:strike w:val="0"/>
        <w:shd w:fill="auto" w:val="clear"/>
        <w:vertAlign w:val="baseline"/>
      </w:rPr>
    </w:lvl>
    <w:lvl w:ilvl="3">
      <w:start w:val="1"/>
      <w:numFmt w:val="bullet"/>
      <w:lvlText w:val="●"/>
      <w:lvlJc w:val="left"/>
      <w:pPr>
        <w:ind w:left="2880" w:hanging="360"/>
      </w:pPr>
      <w:rPr>
        <w:rFonts w:ascii="Calibri" w:cs="Calibri" w:eastAsia="Calibri" w:hAnsi="Calibri"/>
        <w:b w:val="0"/>
        <w:bCs w:val="0"/>
        <w:i w:val="0"/>
        <w:iCs w:val="0"/>
        <w:smallCaps w:val="0"/>
        <w:strike w:val="0"/>
        <w:shd w:fill="auto" w:val="clear"/>
        <w:vertAlign w:val="baseline"/>
      </w:rPr>
    </w:lvl>
    <w:lvl w:ilvl="4">
      <w:start w:val="1"/>
      <w:numFmt w:val="bullet"/>
      <w:lvlText w:val="o"/>
      <w:lvlJc w:val="left"/>
      <w:pPr>
        <w:ind w:left="3600" w:hanging="360"/>
      </w:pPr>
      <w:rPr>
        <w:rFonts w:ascii="Calibri" w:cs="Calibri" w:eastAsia="Calibri" w:hAnsi="Calibri"/>
        <w:b w:val="0"/>
        <w:bCs w:val="0"/>
        <w:i w:val="0"/>
        <w:iCs w:val="0"/>
        <w:smallCaps w:val="0"/>
        <w:strike w:val="0"/>
        <w:shd w:fill="auto" w:val="clear"/>
        <w:vertAlign w:val="baseline"/>
      </w:rPr>
    </w:lvl>
    <w:lvl w:ilvl="5">
      <w:start w:val="1"/>
      <w:numFmt w:val="bullet"/>
      <w:lvlText w:val="▪"/>
      <w:lvlJc w:val="left"/>
      <w:pPr>
        <w:ind w:left="4320" w:hanging="360"/>
      </w:pPr>
      <w:rPr>
        <w:rFonts w:ascii="Calibri" w:cs="Calibri" w:eastAsia="Calibri" w:hAnsi="Calibri"/>
        <w:b w:val="0"/>
        <w:bCs w:val="0"/>
        <w:i w:val="0"/>
        <w:iCs w:val="0"/>
        <w:smallCaps w:val="0"/>
        <w:strike w:val="0"/>
        <w:shd w:fill="auto" w:val="clear"/>
        <w:vertAlign w:val="baseline"/>
      </w:rPr>
    </w:lvl>
    <w:lvl w:ilvl="6">
      <w:start w:val="1"/>
      <w:numFmt w:val="bullet"/>
      <w:lvlText w:val="●"/>
      <w:lvlJc w:val="left"/>
      <w:pPr>
        <w:ind w:left="5040" w:hanging="360"/>
      </w:pPr>
      <w:rPr>
        <w:rFonts w:ascii="Calibri" w:cs="Calibri" w:eastAsia="Calibri" w:hAnsi="Calibri"/>
        <w:b w:val="0"/>
        <w:bCs w:val="0"/>
        <w:i w:val="0"/>
        <w:iCs w:val="0"/>
        <w:smallCaps w:val="0"/>
        <w:strike w:val="0"/>
        <w:shd w:fill="auto" w:val="clear"/>
        <w:vertAlign w:val="baseline"/>
      </w:rPr>
    </w:lvl>
    <w:lvl w:ilvl="7">
      <w:start w:val="1"/>
      <w:numFmt w:val="bullet"/>
      <w:lvlText w:val="o"/>
      <w:lvlJc w:val="left"/>
      <w:pPr>
        <w:ind w:left="5760" w:hanging="360"/>
      </w:pPr>
      <w:rPr>
        <w:rFonts w:ascii="Calibri" w:cs="Calibri" w:eastAsia="Calibri" w:hAnsi="Calibri"/>
        <w:b w:val="0"/>
        <w:bCs w:val="0"/>
        <w:i w:val="0"/>
        <w:iCs w:val="0"/>
        <w:smallCaps w:val="0"/>
        <w:strike w:val="0"/>
        <w:shd w:fill="auto" w:val="clear"/>
        <w:vertAlign w:val="baseline"/>
      </w:rPr>
    </w:lvl>
    <w:lvl w:ilvl="8">
      <w:start w:val="1"/>
      <w:numFmt w:val="bullet"/>
      <w:lvlText w:val="▪"/>
      <w:lvlJc w:val="left"/>
      <w:pPr>
        <w:ind w:left="6480" w:hanging="360"/>
      </w:pPr>
      <w:rPr>
        <w:rFonts w:ascii="Calibri" w:cs="Calibri" w:eastAsia="Calibri" w:hAnsi="Calibri"/>
        <w:b w:val="0"/>
        <w:bCs w:val="0"/>
        <w:i w:val="0"/>
        <w:iCs w:val="0"/>
        <w:smallCaps w:val="0"/>
        <w:strike w:val="0"/>
        <w:shd w:fill="auto" w:val="clear"/>
        <w:vertAlign w:val="baseline"/>
      </w:rPr>
    </w:lvl>
  </w:abstractNum>
  <w:abstractNum w:abstractNumId="5">
    <w:lvl w:ilvl="0">
      <w:start w:val="1"/>
      <w:numFmt w:val="bullet"/>
      <w:lvlText w:val="-"/>
      <w:lvlJc w:val="left"/>
      <w:pPr>
        <w:ind w:left="1080" w:hanging="360"/>
      </w:pPr>
      <w:rPr>
        <w:rFonts w:ascii="Verdana" w:cs="Verdana" w:eastAsia="Verdana" w:hAnsi="Verdana"/>
        <w:b w:val="0"/>
        <w:bCs w:val="0"/>
        <w:i w:val="0"/>
        <w:iCs w:val="0"/>
        <w:smallCaps w:val="0"/>
        <w:strike w:val="0"/>
        <w:shd w:fill="auto" w:val="clear"/>
        <w:vertAlign w:val="baseline"/>
      </w:rPr>
    </w:lvl>
    <w:lvl w:ilvl="1">
      <w:start w:val="1"/>
      <w:numFmt w:val="bullet"/>
      <w:lvlText w:val="o"/>
      <w:lvlJc w:val="left"/>
      <w:pPr>
        <w:ind w:left="1800" w:hanging="360"/>
      </w:pPr>
      <w:rPr>
        <w:rFonts w:ascii="Verdana" w:cs="Verdana" w:eastAsia="Verdana" w:hAnsi="Verdana"/>
        <w:b w:val="0"/>
        <w:bCs w:val="0"/>
        <w:i w:val="0"/>
        <w:iCs w:val="0"/>
        <w:smallCaps w:val="0"/>
        <w:strike w:val="0"/>
        <w:shd w:fill="auto" w:val="clear"/>
        <w:vertAlign w:val="baseline"/>
      </w:rPr>
    </w:lvl>
    <w:lvl w:ilvl="2">
      <w:start w:val="1"/>
      <w:numFmt w:val="bullet"/>
      <w:lvlText w:val="▪"/>
      <w:lvlJc w:val="left"/>
      <w:pPr>
        <w:ind w:left="2520" w:hanging="360"/>
      </w:pPr>
      <w:rPr>
        <w:rFonts w:ascii="Verdana" w:cs="Verdana" w:eastAsia="Verdana" w:hAnsi="Verdana"/>
        <w:b w:val="0"/>
        <w:bCs w:val="0"/>
        <w:i w:val="0"/>
        <w:iCs w:val="0"/>
        <w:smallCaps w:val="0"/>
        <w:strike w:val="0"/>
        <w:shd w:fill="auto" w:val="clear"/>
        <w:vertAlign w:val="baseline"/>
      </w:rPr>
    </w:lvl>
    <w:lvl w:ilvl="3">
      <w:start w:val="1"/>
      <w:numFmt w:val="bullet"/>
      <w:lvlText w:val="●"/>
      <w:lvlJc w:val="left"/>
      <w:pPr>
        <w:ind w:left="3240" w:hanging="360"/>
      </w:pPr>
      <w:rPr>
        <w:rFonts w:ascii="Verdana" w:cs="Verdana" w:eastAsia="Verdana" w:hAnsi="Verdana"/>
        <w:b w:val="0"/>
        <w:bCs w:val="0"/>
        <w:i w:val="0"/>
        <w:iCs w:val="0"/>
        <w:smallCaps w:val="0"/>
        <w:strike w:val="0"/>
        <w:shd w:fill="auto" w:val="clear"/>
        <w:vertAlign w:val="baseline"/>
      </w:rPr>
    </w:lvl>
    <w:lvl w:ilvl="4">
      <w:start w:val="1"/>
      <w:numFmt w:val="bullet"/>
      <w:lvlText w:val="o"/>
      <w:lvlJc w:val="left"/>
      <w:pPr>
        <w:ind w:left="3960" w:hanging="360"/>
      </w:pPr>
      <w:rPr>
        <w:rFonts w:ascii="Verdana" w:cs="Verdana" w:eastAsia="Verdana" w:hAnsi="Verdana"/>
        <w:b w:val="0"/>
        <w:bCs w:val="0"/>
        <w:i w:val="0"/>
        <w:iCs w:val="0"/>
        <w:smallCaps w:val="0"/>
        <w:strike w:val="0"/>
        <w:shd w:fill="auto" w:val="clear"/>
        <w:vertAlign w:val="baseline"/>
      </w:rPr>
    </w:lvl>
    <w:lvl w:ilvl="5">
      <w:start w:val="1"/>
      <w:numFmt w:val="bullet"/>
      <w:lvlText w:val="▪"/>
      <w:lvlJc w:val="left"/>
      <w:pPr>
        <w:ind w:left="4680" w:hanging="360"/>
      </w:pPr>
      <w:rPr>
        <w:rFonts w:ascii="Verdana" w:cs="Verdana" w:eastAsia="Verdana" w:hAnsi="Verdana"/>
        <w:b w:val="0"/>
        <w:bCs w:val="0"/>
        <w:i w:val="0"/>
        <w:iCs w:val="0"/>
        <w:smallCaps w:val="0"/>
        <w:strike w:val="0"/>
        <w:shd w:fill="auto" w:val="clear"/>
        <w:vertAlign w:val="baseline"/>
      </w:rPr>
    </w:lvl>
    <w:lvl w:ilvl="6">
      <w:start w:val="1"/>
      <w:numFmt w:val="bullet"/>
      <w:lvlText w:val="●"/>
      <w:lvlJc w:val="left"/>
      <w:pPr>
        <w:ind w:left="5400" w:hanging="360"/>
      </w:pPr>
      <w:rPr>
        <w:rFonts w:ascii="Verdana" w:cs="Verdana" w:eastAsia="Verdana" w:hAnsi="Verdana"/>
        <w:b w:val="0"/>
        <w:bCs w:val="0"/>
        <w:i w:val="0"/>
        <w:iCs w:val="0"/>
        <w:smallCaps w:val="0"/>
        <w:strike w:val="0"/>
        <w:shd w:fill="auto" w:val="clear"/>
        <w:vertAlign w:val="baseline"/>
      </w:rPr>
    </w:lvl>
    <w:lvl w:ilvl="7">
      <w:start w:val="1"/>
      <w:numFmt w:val="bullet"/>
      <w:lvlText w:val="o"/>
      <w:lvlJc w:val="left"/>
      <w:pPr>
        <w:ind w:left="6120" w:hanging="360"/>
      </w:pPr>
      <w:rPr>
        <w:rFonts w:ascii="Verdana" w:cs="Verdana" w:eastAsia="Verdana" w:hAnsi="Verdana"/>
        <w:b w:val="0"/>
        <w:bCs w:val="0"/>
        <w:i w:val="0"/>
        <w:iCs w:val="0"/>
        <w:smallCaps w:val="0"/>
        <w:strike w:val="0"/>
        <w:shd w:fill="auto" w:val="clear"/>
        <w:vertAlign w:val="baseline"/>
      </w:rPr>
    </w:lvl>
    <w:lvl w:ilvl="8">
      <w:start w:val="1"/>
      <w:numFmt w:val="bullet"/>
      <w:lvlText w:val="▪"/>
      <w:lvlJc w:val="left"/>
      <w:pPr>
        <w:ind w:left="6840" w:hanging="360"/>
      </w:pPr>
      <w:rPr>
        <w:rFonts w:ascii="Verdana" w:cs="Verdana" w:eastAsia="Verdana" w:hAnsi="Verdana"/>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533" w:hanging="23"/>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
      <w:lvlJc w:val="left"/>
      <w:pPr>
        <w:ind w:left="109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181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3">
      <w:start w:val="1"/>
      <w:numFmt w:val="bullet"/>
      <w:lvlText w:val="●"/>
      <w:lvlJc w:val="left"/>
      <w:pPr>
        <w:ind w:left="253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
      <w:lvlJc w:val="left"/>
      <w:pPr>
        <w:ind w:left="325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397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6">
      <w:start w:val="1"/>
      <w:numFmt w:val="bullet"/>
      <w:lvlText w:val="●"/>
      <w:lvlJc w:val="left"/>
      <w:pPr>
        <w:ind w:left="469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
      <w:lvlJc w:val="left"/>
      <w:pPr>
        <w:ind w:left="541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133" w:hanging="223"/>
      </w:pPr>
      <w:rPr>
        <w:rFonts w:ascii="Helvetica Neue" w:cs="Helvetica Neue" w:eastAsia="Helvetica Neue" w:hAnsi="Helvetica Neue"/>
        <w:b w:val="0"/>
        <w:bCs w:val="0"/>
        <w:i w:val="0"/>
        <w:iCs w:val="0"/>
        <w:smallCaps w:val="0"/>
        <w:strike w:val="0"/>
        <w:sz w:val="20"/>
        <w:szCs w:val="2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