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KËRKESË PËR OFERTË</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br w:type="textWrapping"/>
        <w:t xml:space="preserve">Numri i Referencës: </w:t>
      </w:r>
      <w:r w:rsidDel="00000000" w:rsidR="00000000" w:rsidRPr="00000000">
        <w:rPr>
          <w:rFonts w:ascii="Verdana" w:cs="Verdana" w:eastAsia="Verdana" w:hAnsi="Verdana"/>
          <w:color w:val="000000"/>
          <w:sz w:val="18"/>
          <w:szCs w:val="18"/>
          <w:rtl w:val="0"/>
        </w:rPr>
        <w:t xml:space="preserve">001/202</w:t>
      </w:r>
      <w:r w:rsidDel="00000000" w:rsidR="00000000" w:rsidRPr="00000000">
        <w:rPr>
          <w:rFonts w:ascii="Verdana" w:cs="Verdana" w:eastAsia="Verdana" w:hAnsi="Verdana"/>
          <w:sz w:val="18"/>
          <w:szCs w:val="18"/>
          <w:rtl w:val="0"/>
        </w:rPr>
        <w:t xml:space="preserve">5</w:t>
      </w:r>
      <w:r w:rsidDel="00000000" w:rsidR="00000000" w:rsidRPr="00000000">
        <w:rPr>
          <w:rFonts w:ascii="Verdana" w:cs="Verdana" w:eastAsia="Verdana" w:hAnsi="Verdana"/>
          <w:color w:val="000000"/>
          <w:sz w:val="18"/>
          <w:szCs w:val="18"/>
          <w:rtl w:val="0"/>
        </w:rPr>
        <w:t xml:space="preserve"> /FLOSSK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-42860</wp:posOffset>
                </wp:positionH>
                <wp:positionV relativeFrom="paragraph">
                  <wp:posOffset>-4761</wp:posOffset>
                </wp:positionV>
                <wp:extent cx="6027420" cy="50800"/>
                <wp:effectExtent b="0" l="0" r="0" t="0"/>
                <wp:wrapNone/>
                <wp:docPr id="1023666707" name=""/>
                <a:graphic>
                  <a:graphicData uri="http://schemas.microsoft.com/office/word/2010/wordprocessingShape">
                    <wps:wsp>
                      <wps:cNvCnPr/>
                      <wps:spPr>
                        <a:xfrm flipH="1" rot="10800000">
                          <a:off x="2351340" y="3776190"/>
                          <a:ext cx="5989320" cy="762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-42860</wp:posOffset>
                </wp:positionH>
                <wp:positionV relativeFrom="paragraph">
                  <wp:posOffset>-4761</wp:posOffset>
                </wp:positionV>
                <wp:extent cx="6027420" cy="50800"/>
                <wp:effectExtent b="0" l="0" r="0" t="0"/>
                <wp:wrapNone/>
                <wp:docPr id="102366670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27420" cy="50800"/>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TITULLI: </w:t>
      </w:r>
      <w:r w:rsidDel="00000000" w:rsidR="00000000" w:rsidRPr="00000000">
        <w:rPr>
          <w:rFonts w:ascii="Verdana" w:cs="Verdana" w:eastAsia="Verdana" w:hAnsi="Verdana"/>
          <w:color w:val="000000"/>
          <w:sz w:val="18"/>
          <w:szCs w:val="18"/>
          <w:rtl w:val="0"/>
        </w:rPr>
        <w:t xml:space="preserve">Ekspert të Politikave të Qeverisjes dhe Financave të Brendshme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5">
      <w:pPr>
        <w:ind w:right="-18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AUTORITETI KONTRAKTUES: </w:t>
      </w:r>
      <w:r w:rsidDel="00000000" w:rsidR="00000000" w:rsidRPr="00000000">
        <w:rPr>
          <w:rFonts w:ascii="Verdana" w:cs="Verdana" w:eastAsia="Verdana" w:hAnsi="Verdana"/>
          <w:sz w:val="18"/>
          <w:szCs w:val="18"/>
          <w:rtl w:val="0"/>
        </w:rPr>
        <w:t xml:space="preserve">Free Libre Open Source Software Kosova - FLOSSK e financuar nga donatorët vendas dhe ndërkombëtarë.</w:t>
      </w:r>
    </w:p>
    <w:p w:rsidR="00000000" w:rsidDel="00000000" w:rsidP="00000000" w:rsidRDefault="00000000" w:rsidRPr="00000000" w14:paraId="00000006">
      <w:pPr>
        <w:ind w:right="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7">
      <w:pPr>
        <w:ind w:right="360"/>
        <w:jc w:val="both"/>
        <w:rPr>
          <w:rFonts w:ascii="Verdana" w:cs="Verdana" w:eastAsia="Verdana" w:hAnsi="Verdana"/>
          <w:sz w:val="18"/>
          <w:szCs w:val="18"/>
        </w:rPr>
      </w:pPr>
      <w:bookmarkStart w:colFirst="0" w:colLast="0" w:name="_heading=h.gjdgxs" w:id="0"/>
      <w:bookmarkEnd w:id="0"/>
      <w:r w:rsidDel="00000000" w:rsidR="00000000" w:rsidRPr="00000000">
        <w:rPr>
          <w:rFonts w:ascii="Verdana" w:cs="Verdana" w:eastAsia="Verdana" w:hAnsi="Verdana"/>
          <w:b w:val="1"/>
          <w:sz w:val="18"/>
          <w:szCs w:val="18"/>
          <w:rtl w:val="0"/>
        </w:rPr>
        <w:t xml:space="preserve">Free Libre Open Source Software Kosova - FLOSSK</w:t>
      </w:r>
      <w:r w:rsidDel="00000000" w:rsidR="00000000" w:rsidRPr="00000000">
        <w:rPr>
          <w:rFonts w:ascii="Verdana" w:cs="Verdana" w:eastAsia="Verdana" w:hAnsi="Verdana"/>
          <w:sz w:val="18"/>
          <w:szCs w:val="18"/>
          <w:rtl w:val="0"/>
        </w:rPr>
        <w:t xml:space="preserve"> është duke implementuar disa projekte të financuara nga donatorë vendorë dhe ndërkombëtarë. Duke pasur parasysh që do të na duhet një ekspert (individ apo kompani) për të zhvilluar politikat e qeverisjes dhe financave të brendshme, duke siguruar transparencë, llogaridhënie dhe përputhshmëri me kërkesat e donatorëve. FLOSSK fton individët dhe kompanitë e interesuara të aplikojnë për të ofruar çmimet e tyre sipas kërkesave dhe nevojat e FLOSSK.</w:t>
      </w:r>
    </w:p>
    <w:p w:rsidR="00000000" w:rsidDel="00000000" w:rsidP="00000000" w:rsidRDefault="00000000" w:rsidRPr="00000000" w14:paraId="00000008">
      <w:pPr>
        <w:ind w:right="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br w:type="textWrapping"/>
      </w:r>
      <w:r w:rsidDel="00000000" w:rsidR="00000000" w:rsidRPr="00000000">
        <w:rPr>
          <w:rFonts w:ascii="Verdana" w:cs="Verdana" w:eastAsia="Verdana" w:hAnsi="Verdana"/>
          <w:b w:val="1"/>
          <w:sz w:val="18"/>
          <w:szCs w:val="18"/>
          <w:rtl w:val="0"/>
        </w:rPr>
        <w:t xml:space="preserve">Data e Mbylljes: Shtator, 10, 2025 17:00 (CET)                                         </w:t>
      </w:r>
      <w:r w:rsidDel="00000000" w:rsidR="00000000" w:rsidRPr="00000000">
        <w:rPr>
          <w:rtl w:val="0"/>
        </w:rPr>
      </w:r>
    </w:p>
    <w:p w:rsidR="00000000" w:rsidDel="00000000" w:rsidP="00000000" w:rsidRDefault="00000000" w:rsidRPr="00000000" w14:paraId="0000000A">
      <w:pP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Të nderuar zotëri / Zonjë,</w:t>
      </w:r>
      <w:r w:rsidDel="00000000" w:rsidR="00000000" w:rsidRPr="00000000">
        <w:rPr>
          <w:rtl w:val="0"/>
        </w:rPr>
      </w:r>
    </w:p>
    <w:p w:rsidR="00000000" w:rsidDel="00000000" w:rsidP="00000000" w:rsidRDefault="00000000" w:rsidRPr="00000000" w14:paraId="0000000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Ju lutemi të na jepni një ofertë për </w:t>
      </w:r>
      <w:r w:rsidDel="00000000" w:rsidR="00000000" w:rsidRPr="00000000">
        <w:rPr>
          <w:rFonts w:ascii="Verdana" w:cs="Verdana" w:eastAsia="Verdana" w:hAnsi="Verdana"/>
          <w:b w:val="1"/>
          <w:sz w:val="18"/>
          <w:szCs w:val="18"/>
          <w:u w:val="single"/>
          <w:rtl w:val="0"/>
        </w:rPr>
        <w:t xml:space="preserve">Ekspert të Politikave të Qeverisjes dhe Financave të Brendshme</w:t>
      </w:r>
      <w:r w:rsidDel="00000000" w:rsidR="00000000" w:rsidRPr="00000000">
        <w:rPr>
          <w:rFonts w:ascii="Verdana" w:cs="Verdana" w:eastAsia="Verdana" w:hAnsi="Verdana"/>
          <w:sz w:val="18"/>
          <w:szCs w:val="18"/>
          <w:rtl w:val="0"/>
        </w:rPr>
        <w:t xml:space="preserve">, të specifikuara në tabelën më poshtë.</w:t>
      </w:r>
    </w:p>
    <w:p w:rsidR="00000000" w:rsidDel="00000000" w:rsidP="00000000" w:rsidRDefault="00000000" w:rsidRPr="00000000" w14:paraId="0000000D">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E">
      <w:pPr>
        <w:ind w:left="839" w:hanging="504"/>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I. </w:t>
      </w:r>
      <w:r w:rsidDel="00000000" w:rsidR="00000000" w:rsidRPr="00000000">
        <w:rPr>
          <w:rFonts w:ascii="Verdana" w:cs="Verdana" w:eastAsia="Verdana" w:hAnsi="Verdana"/>
          <w:b w:val="1"/>
          <w:sz w:val="18"/>
          <w:szCs w:val="18"/>
          <w:u w:val="single"/>
          <w:rtl w:val="0"/>
        </w:rPr>
        <w:t xml:space="preserve">Ekspert të Politikave të Qeverisjes dhe Financave të Brendshme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Verdana" w:cs="Verdana" w:eastAsia="Verdana" w:hAnsi="Verdana"/>
          <w:i w:val="1"/>
          <w:color w:val="000000"/>
          <w:sz w:val="14"/>
          <w:szCs w:val="14"/>
        </w:rPr>
      </w:pPr>
      <w:bookmarkStart w:colFirst="0" w:colLast="0" w:name="_heading=h.kuugjc6o8f8l" w:id="1"/>
      <w:bookmarkEnd w:id="1"/>
      <w:r w:rsidDel="00000000" w:rsidR="00000000" w:rsidRPr="00000000">
        <w:rPr>
          <w:rFonts w:ascii="Verdana" w:cs="Verdana" w:eastAsia="Verdana" w:hAnsi="Verdana"/>
          <w:i w:val="1"/>
          <w:color w:val="000000"/>
          <w:sz w:val="18"/>
          <w:szCs w:val="18"/>
          <w:rtl w:val="0"/>
        </w:rPr>
        <w:t xml:space="preserve"> </w:t>
      </w:r>
      <w:r w:rsidDel="00000000" w:rsidR="00000000" w:rsidRPr="00000000">
        <w:rPr>
          <w:rFonts w:ascii="Verdana" w:cs="Verdana" w:eastAsia="Verdana" w:hAnsi="Verdana"/>
          <w:i w:val="1"/>
          <w:color w:val="000000"/>
          <w:sz w:val="14"/>
          <w:szCs w:val="14"/>
          <w:rtl w:val="0"/>
        </w:rPr>
        <w:t xml:space="preserve">*Ju lutemi tregoni çmimin për secilën artikul/shërbiml në listë.</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Verdana" w:cs="Verdana" w:eastAsia="Verdana" w:hAnsi="Verdana"/>
          <w:i w:val="1"/>
          <w:color w:val="000000"/>
          <w:sz w:val="14"/>
          <w:szCs w:val="1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Verdana" w:cs="Verdana" w:eastAsia="Verdana" w:hAnsi="Verdana"/>
          <w:color w:val="000000"/>
          <w:sz w:val="14"/>
          <w:szCs w:val="14"/>
        </w:rPr>
      </w:pPr>
      <w:r w:rsidDel="00000000" w:rsidR="00000000" w:rsidRPr="00000000">
        <w:rPr>
          <w:rtl w:val="0"/>
        </w:rPr>
      </w:r>
    </w:p>
    <w:tbl>
      <w:tblPr>
        <w:tblStyle w:val="Table1"/>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2"/>
        <w:gridCol w:w="2151"/>
        <w:gridCol w:w="2255"/>
        <w:gridCol w:w="2028"/>
        <w:tblGridChange w:id="0">
          <w:tblGrid>
            <w:gridCol w:w="2422"/>
            <w:gridCol w:w="2151"/>
            <w:gridCol w:w="2255"/>
            <w:gridCol w:w="2028"/>
          </w:tblGrid>
        </w:tblGridChange>
      </w:tblGrid>
      <w:tr>
        <w:trPr>
          <w:cantSplit w:val="0"/>
          <w:tblHeader w:val="0"/>
        </w:trPr>
        <w:tc>
          <w:tcPr/>
          <w:p w:rsidR="00000000" w:rsidDel="00000000" w:rsidP="00000000" w:rsidRDefault="00000000" w:rsidRPr="00000000" w14:paraId="00000012">
            <w:pPr>
              <w:jc w:val="center"/>
              <w:rPr>
                <w:rFonts w:ascii="Verdana" w:cs="Verdana" w:eastAsia="Verdana" w:hAnsi="Verdana"/>
                <w:b w:val="1"/>
              </w:rPr>
            </w:pPr>
            <w:r w:rsidDel="00000000" w:rsidR="00000000" w:rsidRPr="00000000">
              <w:rPr>
                <w:rFonts w:ascii="Verdana" w:cs="Verdana" w:eastAsia="Verdana" w:hAnsi="Verdana"/>
                <w:b w:val="1"/>
                <w:rtl w:val="0"/>
              </w:rPr>
              <w:t xml:space="preserve">Produkti</w:t>
            </w:r>
          </w:p>
        </w:tc>
        <w:tc>
          <w:tcPr/>
          <w:p w:rsidR="00000000" w:rsidDel="00000000" w:rsidP="00000000" w:rsidRDefault="00000000" w:rsidRPr="00000000" w14:paraId="00000013">
            <w:pPr>
              <w:jc w:val="center"/>
              <w:rPr>
                <w:rFonts w:ascii="Verdana" w:cs="Verdana" w:eastAsia="Verdana" w:hAnsi="Verdana"/>
                <w:b w:val="1"/>
              </w:rPr>
            </w:pPr>
            <w:r w:rsidDel="00000000" w:rsidR="00000000" w:rsidRPr="00000000">
              <w:rPr>
                <w:rFonts w:ascii="Verdana" w:cs="Verdana" w:eastAsia="Verdana" w:hAnsi="Verdana"/>
                <w:b w:val="1"/>
                <w:rtl w:val="0"/>
              </w:rPr>
              <w:t xml:space="preserve">Ditë</w:t>
            </w:r>
          </w:p>
        </w:tc>
        <w:tc>
          <w:tcPr/>
          <w:p w:rsidR="00000000" w:rsidDel="00000000" w:rsidP="00000000" w:rsidRDefault="00000000" w:rsidRPr="00000000" w14:paraId="00000014">
            <w:pPr>
              <w:jc w:val="center"/>
              <w:rPr>
                <w:rFonts w:ascii="Verdana" w:cs="Verdana" w:eastAsia="Verdana" w:hAnsi="Verdana"/>
                <w:b w:val="1"/>
              </w:rPr>
            </w:pPr>
            <w:r w:rsidDel="00000000" w:rsidR="00000000" w:rsidRPr="00000000">
              <w:rPr>
                <w:rFonts w:ascii="Verdana" w:cs="Verdana" w:eastAsia="Verdana" w:hAnsi="Verdana"/>
                <w:b w:val="1"/>
                <w:rtl w:val="0"/>
              </w:rPr>
              <w:t xml:space="preserve">Data e Synuar</w:t>
            </w:r>
          </w:p>
        </w:tc>
        <w:tc>
          <w:tcPr/>
          <w:p w:rsidR="00000000" w:rsidDel="00000000" w:rsidP="00000000" w:rsidRDefault="00000000" w:rsidRPr="00000000" w14:paraId="00000015">
            <w:pPr>
              <w:jc w:val="center"/>
              <w:rPr>
                <w:rFonts w:ascii="Verdana" w:cs="Verdana" w:eastAsia="Verdana" w:hAnsi="Verdana"/>
                <w:b w:val="1"/>
              </w:rPr>
            </w:pPr>
            <w:r w:rsidDel="00000000" w:rsidR="00000000" w:rsidRPr="00000000">
              <w:rPr>
                <w:rFonts w:ascii="Verdana" w:cs="Verdana" w:eastAsia="Verdana" w:hAnsi="Verdana"/>
                <w:b w:val="1"/>
                <w:rtl w:val="0"/>
              </w:rPr>
              <w:t xml:space="preserve">Çmimi</w:t>
            </w:r>
          </w:p>
        </w:tc>
      </w:tr>
      <w:tr>
        <w:trPr>
          <w:cantSplit w:val="0"/>
          <w:tblHeader w:val="0"/>
        </w:trPr>
        <w:tc>
          <w:tcPr/>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Plani i punës dhe metodologjia</w:t>
            </w:r>
          </w:p>
        </w:tc>
        <w:tc>
          <w:tcPr/>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Tetor 2025</w:t>
            </w:r>
          </w:p>
        </w:tc>
        <w:tc>
          <w:tcPr/>
          <w:p w:rsidR="00000000" w:rsidDel="00000000" w:rsidP="00000000" w:rsidRDefault="00000000" w:rsidRPr="00000000" w14:paraId="00000019">
            <w:pPr>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Draft politikat e qeverisjes</w:t>
            </w:r>
          </w:p>
        </w:tc>
        <w:tc>
          <w:tcPr/>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8</w:t>
            </w:r>
          </w:p>
        </w:tc>
        <w:tc>
          <w:tcPr/>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Nëntor 2025</w:t>
            </w:r>
          </w:p>
        </w:tc>
        <w:tc>
          <w:tcPr/>
          <w:p w:rsidR="00000000" w:rsidDel="00000000" w:rsidP="00000000" w:rsidRDefault="00000000" w:rsidRPr="00000000" w14:paraId="0000001D">
            <w:pPr>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rtl w:val="0"/>
              </w:rPr>
              <w:t xml:space="preserve">Draft politikat financiare</w:t>
            </w:r>
          </w:p>
        </w:tc>
        <w:tc>
          <w:tcPr/>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8</w:t>
            </w:r>
          </w:p>
        </w:tc>
        <w:tc>
          <w:tcPr/>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Dhjetor 2025</w:t>
            </w:r>
          </w:p>
        </w:tc>
        <w:tc>
          <w:tcPr/>
          <w:p w:rsidR="00000000" w:rsidDel="00000000" w:rsidP="00000000" w:rsidRDefault="00000000" w:rsidRPr="00000000" w14:paraId="00000021">
            <w:pPr>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Verdana" w:cs="Verdana" w:eastAsia="Verdana" w:hAnsi="Verdana"/>
              </w:rPr>
            </w:pPr>
            <w:r w:rsidDel="00000000" w:rsidR="00000000" w:rsidRPr="00000000">
              <w:rPr>
                <w:rFonts w:ascii="Verdana" w:cs="Verdana" w:eastAsia="Verdana" w:hAnsi="Verdana"/>
                <w:rtl w:val="0"/>
              </w:rPr>
              <w:t xml:space="preserve">Konsultimet &amp; rishikimet</w:t>
            </w:r>
          </w:p>
        </w:tc>
        <w:tc>
          <w:tcPr/>
          <w:p w:rsidR="00000000" w:rsidDel="00000000" w:rsidP="00000000" w:rsidRDefault="00000000" w:rsidRPr="00000000" w14:paraId="00000023">
            <w:pPr>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rtl w:val="0"/>
              </w:rPr>
              <w:t xml:space="preserve">Jan–Shkurt 2026</w:t>
            </w:r>
          </w:p>
        </w:tc>
        <w:tc>
          <w:tcPr/>
          <w:p w:rsidR="00000000" w:rsidDel="00000000" w:rsidP="00000000" w:rsidRDefault="00000000" w:rsidRPr="00000000" w14:paraId="00000025">
            <w:pPr>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rtl w:val="0"/>
              </w:rPr>
              <w:t xml:space="preserve">Politikat finale të miratuara</w:t>
            </w:r>
          </w:p>
        </w:tc>
        <w:tc>
          <w:tcPr/>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028">
            <w:pPr>
              <w:rPr>
                <w:rFonts w:ascii="Verdana" w:cs="Verdana" w:eastAsia="Verdana" w:hAnsi="Verdana"/>
              </w:rPr>
            </w:pPr>
            <w:r w:rsidDel="00000000" w:rsidR="00000000" w:rsidRPr="00000000">
              <w:rPr>
                <w:rFonts w:ascii="Verdana" w:cs="Verdana" w:eastAsia="Verdana" w:hAnsi="Verdana"/>
                <w:rtl w:val="0"/>
              </w:rPr>
              <w:t xml:space="preserve">Mars 2026</w:t>
            </w:r>
          </w:p>
        </w:tc>
        <w:tc>
          <w:tcPr/>
          <w:p w:rsidR="00000000" w:rsidDel="00000000" w:rsidP="00000000" w:rsidRDefault="00000000" w:rsidRPr="00000000" w14:paraId="00000029">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rPr>
      </w:pPr>
      <w:r w:rsidDel="00000000" w:rsidR="00000000" w:rsidRPr="00000000">
        <w:rPr>
          <w:rFonts w:ascii="Verdana" w:cs="Verdana" w:eastAsia="Verdana" w:hAnsi="Verdana"/>
          <w:b w:val="1"/>
          <w:rtl w:val="0"/>
        </w:rPr>
        <w:t xml:space="preserve">Produktet e Pritshme</w:t>
      </w:r>
    </w:p>
    <w:p w:rsidR="00000000" w:rsidDel="00000000" w:rsidP="00000000" w:rsidRDefault="00000000" w:rsidRPr="00000000" w14:paraId="0000002C">
      <w:pPr>
        <w:rPr>
          <w:rFonts w:ascii="Verdana" w:cs="Verdana" w:eastAsia="Verdana" w:hAnsi="Verdana"/>
        </w:rPr>
      </w:pPr>
      <w:r w:rsidDel="00000000" w:rsidR="00000000" w:rsidRPr="00000000">
        <w:rPr>
          <w:rFonts w:ascii="Verdana" w:cs="Verdana" w:eastAsia="Verdana" w:hAnsi="Verdana"/>
          <w:rtl w:val="0"/>
        </w:rPr>
        <w:t xml:space="preserve">• Draftet e politikave dhe templateve në shqip dhe anglisht</w:t>
      </w:r>
    </w:p>
    <w:p w:rsidR="00000000" w:rsidDel="00000000" w:rsidP="00000000" w:rsidRDefault="00000000" w:rsidRPr="00000000" w14:paraId="0000002D">
      <w:pPr>
        <w:rPr>
          <w:rFonts w:ascii="Verdana" w:cs="Verdana" w:eastAsia="Verdana" w:hAnsi="Verdana"/>
        </w:rPr>
      </w:pPr>
      <w:r w:rsidDel="00000000" w:rsidR="00000000" w:rsidRPr="00000000">
        <w:rPr>
          <w:rFonts w:ascii="Verdana" w:cs="Verdana" w:eastAsia="Verdana" w:hAnsi="Verdana"/>
          <w:rtl w:val="0"/>
        </w:rPr>
        <w:t xml:space="preserve">• Dy sesione konsultimi me stafin dhe anëtarët</w:t>
      </w:r>
    </w:p>
    <w:p w:rsidR="00000000" w:rsidDel="00000000" w:rsidP="00000000" w:rsidRDefault="00000000" w:rsidRPr="00000000" w14:paraId="0000002E">
      <w:pPr>
        <w:rPr>
          <w:rFonts w:ascii="Verdana" w:cs="Verdana" w:eastAsia="Verdana" w:hAnsi="Verdana"/>
        </w:rPr>
      </w:pPr>
      <w:r w:rsidDel="00000000" w:rsidR="00000000" w:rsidRPr="00000000">
        <w:rPr>
          <w:rFonts w:ascii="Verdana" w:cs="Verdana" w:eastAsia="Verdana" w:hAnsi="Verdana"/>
          <w:rtl w:val="0"/>
        </w:rPr>
        <w:t xml:space="preserve">• Prezantim dhe miratim nga Bordi i FLOSSK</w:t>
      </w:r>
    </w:p>
    <w:p w:rsidR="00000000" w:rsidDel="00000000" w:rsidP="00000000" w:rsidRDefault="00000000" w:rsidRPr="00000000" w14:paraId="0000002F">
      <w:pPr>
        <w:rPr>
          <w:rFonts w:ascii="Verdana" w:cs="Verdana" w:eastAsia="Verdana" w:hAnsi="Verdana"/>
        </w:rPr>
      </w:pPr>
      <w:r w:rsidDel="00000000" w:rsidR="00000000" w:rsidRPr="00000000">
        <w:rPr>
          <w:rFonts w:ascii="Verdana" w:cs="Verdana" w:eastAsia="Verdana" w:hAnsi="Verdana"/>
          <w:rtl w:val="0"/>
        </w:rPr>
        <w:t xml:space="preserve">• Politikat finale të miratuara në format të redaktueshëm</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Verdana" w:cs="Verdana" w:eastAsia="Verdana" w:hAnsi="Verdana"/>
          <w:b w:val="1"/>
          <w:i w:val="1"/>
          <w:color w:val="000000"/>
          <w:sz w:val="18"/>
          <w:szCs w:val="18"/>
        </w:rPr>
      </w:pPr>
      <w:r w:rsidDel="00000000" w:rsidR="00000000" w:rsidRPr="00000000">
        <w:rPr>
          <w:rFonts w:ascii="Verdana" w:cs="Verdana" w:eastAsia="Verdana" w:hAnsi="Verdana"/>
          <w:b w:val="1"/>
          <w:i w:val="1"/>
          <w:color w:val="000000"/>
          <w:sz w:val="18"/>
          <w:szCs w:val="18"/>
          <w:rtl w:val="0"/>
        </w:rPr>
        <w:t xml:space="preserve">Kushtet e ofertimit</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1080" w:hanging="360"/>
        <w:jc w:val="both"/>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Ofertat duhet te përfshijnë çmimet PA TVSH</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1080" w:hanging="360"/>
        <w:jc w:val="both"/>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Ofertat duhet të jenë valide së paku </w:t>
      </w:r>
      <w:r w:rsidDel="00000000" w:rsidR="00000000" w:rsidRPr="00000000">
        <w:rPr>
          <w:rFonts w:ascii="Verdana" w:cs="Verdana" w:eastAsia="Verdana" w:hAnsi="Verdana"/>
          <w:i w:val="1"/>
          <w:color w:val="000000"/>
          <w:sz w:val="18"/>
          <w:szCs w:val="18"/>
          <w:u w:val="single"/>
          <w:rtl w:val="0"/>
        </w:rPr>
        <w:t xml:space="preserve">60</w:t>
      </w:r>
      <w:r w:rsidDel="00000000" w:rsidR="00000000" w:rsidRPr="00000000">
        <w:rPr>
          <w:rFonts w:ascii="Verdana" w:cs="Verdana" w:eastAsia="Verdana" w:hAnsi="Verdana"/>
          <w:i w:val="1"/>
          <w:color w:val="000000"/>
          <w:sz w:val="18"/>
          <w:szCs w:val="18"/>
          <w:rtl w:val="0"/>
        </w:rPr>
        <w:t xml:space="preserve"> ditë pas datës se dorëzimit</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1080" w:hanging="360"/>
        <w:jc w:val="both"/>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Propozim teknik (metodologjia &amp; plani i punës)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ind w:left="1080" w:hanging="360"/>
        <w:jc w:val="both"/>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CV ose profili i kompanisë me referenca</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ind w:left="1080" w:hanging="360"/>
        <w:jc w:val="both"/>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Certifikata e regjistrimit të biznesit (nëse është kompani)</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 xml:space="preserve">Me anë të plotësimit dhe nënshkrimit të kësaj oferte deklaroj se i pranoj kushtet e mëposhtme dhe se si ofertues nuk bie ndesh në asnjë nga kushtet dhe kriteret e përjashtimit të listuara më poshtë.</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Verdana" w:cs="Verdana" w:eastAsia="Verdana" w:hAnsi="Verdana"/>
          <w:i w:val="1"/>
          <w:sz w:val="18"/>
          <w:szCs w:val="18"/>
        </w:rPr>
      </w:pPr>
      <w:r w:rsidDel="00000000" w:rsidR="00000000" w:rsidRPr="00000000">
        <w:rPr>
          <w:rtl w:val="0"/>
        </w:rPr>
      </w:r>
    </w:p>
    <w:tbl>
      <w:tblPr>
        <w:tblStyle w:val="Table2"/>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2"/>
        <w:gridCol w:w="7118"/>
        <w:tblGridChange w:id="0">
          <w:tblGrid>
            <w:gridCol w:w="2422"/>
            <w:gridCol w:w="7118"/>
          </w:tblGrid>
        </w:tblGridChange>
      </w:tblGrid>
      <w:tr>
        <w:trPr>
          <w:cantSplit w:val="0"/>
          <w:trHeight w:val="317" w:hRule="atLeast"/>
          <w:tblHeader w:val="0"/>
        </w:trPr>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right="3"/>
              <w:jc w:val="both"/>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Emri dhe Mbiemri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Verdana" w:cs="Verdana" w:eastAsia="Verdana" w:hAnsi="Verdana"/>
                <w:color w:val="12058d"/>
                <w:sz w:val="22"/>
                <w:szCs w:val="22"/>
              </w:rPr>
            </w:pPr>
            <w:r w:rsidDel="00000000" w:rsidR="00000000" w:rsidRPr="00000000">
              <w:rPr>
                <w:rtl w:val="0"/>
              </w:rPr>
            </w:r>
          </w:p>
        </w:tc>
      </w:tr>
      <w:tr>
        <w:trPr>
          <w:cantSplit w:val="0"/>
          <w:trHeight w:val="407" w:hRule="atLeast"/>
          <w:tblHeader w:val="0"/>
        </w:trPr>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Emri i Kompanisë</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Verdana" w:cs="Verdana" w:eastAsia="Verdana" w:hAnsi="Verdana"/>
                <w:color w:val="12058d"/>
                <w:sz w:val="22"/>
                <w:szCs w:val="22"/>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right="7"/>
              <w:jc w:val="both"/>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NUI</w:t>
            </w:r>
          </w:p>
        </w:tc>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Verdana" w:cs="Verdana" w:eastAsia="Verdana" w:hAnsi="Verdana"/>
                <w:color w:val="12058d"/>
                <w:sz w:val="22"/>
                <w:szCs w:val="22"/>
              </w:rPr>
            </w:pPr>
            <w:r w:rsidDel="00000000" w:rsidR="00000000" w:rsidRPr="00000000">
              <w:rPr>
                <w:rtl w:val="0"/>
              </w:rPr>
            </w:r>
          </w:p>
        </w:tc>
      </w:tr>
      <w:tr>
        <w:trPr>
          <w:cantSplit w:val="0"/>
          <w:trHeight w:val="1320" w:hRule="atLeast"/>
          <w:tblHeader w:val="0"/>
        </w:trPr>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right="7"/>
              <w:jc w:val="both"/>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Nënshkrimi dhe Vula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 </w:t>
            </w:r>
          </w:p>
        </w:tc>
      </w:tr>
      <w:tr>
        <w:trPr>
          <w:cantSplit w:val="0"/>
          <w:trHeight w:val="434" w:hRule="atLeast"/>
          <w:tblHeader w:val="0"/>
        </w:trPr>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right="6"/>
              <w:jc w:val="both"/>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Data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 w:type="dxa"/>
              <w:left w:w="115.0" w:type="dxa"/>
              <w:bottom w:w="0.0" w:type="dxa"/>
              <w:right w:w="111.0" w:type="dxa"/>
            </w:tcM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Verdana" w:cs="Verdana" w:eastAsia="Verdana" w:hAnsi="Verdana"/>
                <w:color w:val="12058d"/>
                <w:sz w:val="22"/>
                <w:szCs w:val="22"/>
              </w:rPr>
            </w:pPr>
            <w:r w:rsidDel="00000000" w:rsidR="00000000" w:rsidRPr="00000000">
              <w:rPr>
                <w:rtl w:val="0"/>
              </w:rPr>
            </w:r>
          </w:p>
        </w:tc>
      </w:tr>
    </w:tbl>
    <w:p w:rsidR="00000000" w:rsidDel="00000000" w:rsidP="00000000" w:rsidRDefault="00000000" w:rsidRPr="00000000" w14:paraId="00000051">
      <w:pPr>
        <w:spacing w:line="276" w:lineRule="auto"/>
        <w:jc w:val="both"/>
        <w:rPr>
          <w:rFonts w:ascii="Verdana" w:cs="Verdana" w:eastAsia="Verdana" w:hAnsi="Verdana"/>
          <w:b w:val="1"/>
          <w:color w:val="000000"/>
          <w:sz w:val="22"/>
          <w:szCs w:val="22"/>
        </w:rPr>
      </w:pPr>
      <w:r w:rsidDel="00000000" w:rsidR="00000000" w:rsidRPr="00000000">
        <w:rPr>
          <w:rFonts w:ascii="Verdana" w:cs="Verdana" w:eastAsia="Verdana" w:hAnsi="Verdana"/>
          <w:i w:val="1"/>
          <w:color w:val="000000"/>
          <w:sz w:val="18"/>
          <w:szCs w:val="18"/>
          <w:rtl w:val="0"/>
        </w:rPr>
        <w:br w:type="textWrapping"/>
        <w:t xml:space="preserve"> </w:t>
      </w:r>
      <w:r w:rsidDel="00000000" w:rsidR="00000000" w:rsidRPr="00000000">
        <w:rPr>
          <w:rFonts w:ascii="Verdana" w:cs="Verdana" w:eastAsia="Verdana" w:hAnsi="Verdana"/>
          <w:b w:val="1"/>
          <w:color w:val="000000"/>
          <w:sz w:val="22"/>
          <w:szCs w:val="22"/>
          <w:rtl w:val="0"/>
        </w:rPr>
        <w:t xml:space="preserve">*Bashkëngjit, portofolion e kompanisë dhe dokumentet e tjera te kërkuara ne këtë thirrje.</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3">
      <w:pPr>
        <w:rPr>
          <w:rFonts w:ascii="Verdana" w:cs="Verdana" w:eastAsia="Verdana" w:hAnsi="Verdana"/>
        </w:rPr>
      </w:pPr>
      <w:r w:rsidDel="00000000" w:rsidR="00000000" w:rsidRPr="00000000">
        <w:rPr>
          <w:rtl w:val="0"/>
        </w:rPr>
      </w:r>
    </w:p>
    <w:p w:rsidR="00000000" w:rsidDel="00000000" w:rsidP="00000000" w:rsidRDefault="00000000" w:rsidRPr="00000000" w14:paraId="00000054">
      <w:pPr>
        <w:rPr>
          <w:rFonts w:ascii="Verdana" w:cs="Verdana" w:eastAsia="Verdana" w:hAnsi="Verdana"/>
        </w:rPr>
      </w:pPr>
      <w:r w:rsidDel="00000000" w:rsidR="00000000" w:rsidRPr="00000000">
        <w:rPr>
          <w:rFonts w:ascii="Verdana" w:cs="Verdana" w:eastAsia="Verdana" w:hAnsi="Verdana"/>
          <w:rtl w:val="0"/>
        </w:rPr>
        <w:t xml:space="preserve">Eksperti do të angazhohet për 24 ditë gjatë gjashtë muajve për të draftuar, konsultuar dhe finalizuar politikat.</w:t>
      </w:r>
    </w:p>
    <w:p w:rsidR="00000000" w:rsidDel="00000000" w:rsidP="00000000" w:rsidRDefault="00000000" w:rsidRPr="00000000" w14:paraId="00000055">
      <w:pPr>
        <w:rPr>
          <w:rFonts w:ascii="Verdana" w:cs="Verdana" w:eastAsia="Verdana" w:hAnsi="Verdana"/>
          <w:b w:val="1"/>
        </w:rPr>
      </w:pPr>
      <w:r w:rsidDel="00000000" w:rsidR="00000000" w:rsidRPr="00000000">
        <w:rPr>
          <w:rtl w:val="0"/>
        </w:rPr>
      </w:r>
    </w:p>
    <w:p w:rsidR="00000000" w:rsidDel="00000000" w:rsidP="00000000" w:rsidRDefault="00000000" w:rsidRPr="00000000" w14:paraId="00000056">
      <w:pPr>
        <w:rPr>
          <w:rFonts w:ascii="Verdana" w:cs="Verdana" w:eastAsia="Verdana" w:hAnsi="Verdana"/>
          <w:b w:val="1"/>
        </w:rPr>
      </w:pPr>
      <w:r w:rsidDel="00000000" w:rsidR="00000000" w:rsidRPr="00000000">
        <w:rPr>
          <w:rFonts w:ascii="Verdana" w:cs="Verdana" w:eastAsia="Verdana" w:hAnsi="Verdana"/>
          <w:b w:val="1"/>
          <w:rtl w:val="0"/>
        </w:rPr>
        <w:t xml:space="preserve">Politikat e Qeverisjes që do të zhvillohen:</w:t>
      </w:r>
    </w:p>
    <w:p w:rsidR="00000000" w:rsidDel="00000000" w:rsidP="00000000" w:rsidRDefault="00000000" w:rsidRPr="00000000" w14:paraId="00000057">
      <w:pPr>
        <w:rPr>
          <w:rFonts w:ascii="Verdana" w:cs="Verdana" w:eastAsia="Verdana" w:hAnsi="Verdana"/>
        </w:rPr>
      </w:pPr>
      <w:r w:rsidDel="00000000" w:rsidR="00000000" w:rsidRPr="00000000">
        <w:rPr>
          <w:rFonts w:ascii="Verdana" w:cs="Verdana" w:eastAsia="Verdana" w:hAnsi="Verdana"/>
          <w:rtl w:val="0"/>
        </w:rPr>
        <w:t xml:space="preserve">• Politika e Qeverisjes së Bordit</w:t>
        <w:br w:type="textWrapping"/>
        <w:t xml:space="preserve">• Politika e Konfliktit të Interesit</w:t>
        <w:br w:type="textWrapping"/>
        <w:t xml:space="preserve">• Kodi i Sjelljes/Etikës</w:t>
        <w:br w:type="textWrapping"/>
        <w:t xml:space="preserve">• Politika e Vendimmarrjes dhe Delegimit</w:t>
        <w:br w:type="textWrapping"/>
        <w:t xml:space="preserve">• Politika e Mbrojtjes së të Dhënave &amp; Konfidencialitetit</w:t>
        <w:br w:type="textWrapping"/>
        <w:t xml:space="preserve">• Politika Kundër-Korrupsionit</w:t>
      </w:r>
    </w:p>
    <w:p w:rsidR="00000000" w:rsidDel="00000000" w:rsidP="00000000" w:rsidRDefault="00000000" w:rsidRPr="00000000" w14:paraId="00000058">
      <w:pPr>
        <w:rPr>
          <w:rFonts w:ascii="Verdana" w:cs="Verdana" w:eastAsia="Verdana" w:hAnsi="Verdana"/>
          <w:b w:val="1"/>
        </w:rPr>
      </w:pPr>
      <w:r w:rsidDel="00000000" w:rsidR="00000000" w:rsidRPr="00000000">
        <w:rPr>
          <w:rFonts w:ascii="Verdana" w:cs="Verdana" w:eastAsia="Verdana" w:hAnsi="Verdana"/>
          <w:b w:val="1"/>
          <w:rtl w:val="0"/>
        </w:rPr>
        <w:t xml:space="preserve">Politikat Financiare që do të zhvillohen:</w:t>
      </w:r>
    </w:p>
    <w:p w:rsidR="00000000" w:rsidDel="00000000" w:rsidP="00000000" w:rsidRDefault="00000000" w:rsidRPr="00000000" w14:paraId="00000059">
      <w:pPr>
        <w:rPr>
          <w:rFonts w:ascii="Verdana" w:cs="Verdana" w:eastAsia="Verdana" w:hAnsi="Verdana"/>
        </w:rPr>
      </w:pPr>
      <w:r w:rsidDel="00000000" w:rsidR="00000000" w:rsidRPr="00000000">
        <w:rPr>
          <w:rFonts w:ascii="Verdana" w:cs="Verdana" w:eastAsia="Verdana" w:hAnsi="Verdana"/>
          <w:rtl w:val="0"/>
        </w:rPr>
        <w:t xml:space="preserve">• Politika e Menaxhimit Financiar</w:t>
        <w:br w:type="textWrapping"/>
        <w:t xml:space="preserve">• Politika e Buxhetimit</w:t>
        <w:br w:type="textWrapping"/>
        <w:t xml:space="preserve">• Politika e Shpenzimeve &amp; Rimbursimeve</w:t>
        <w:br w:type="textWrapping"/>
        <w:t xml:space="preserve">• Politika e Prokurimit</w:t>
        <w:br w:type="textWrapping"/>
        <w:t xml:space="preserve">• Politika e Arkës së Vogël &amp; Parasë së Gatshme</w:t>
        <w:br w:type="textWrapping"/>
        <w:t xml:space="preserve">• Politika e Bankimit &amp; Autorizimit të Pagesave</w:t>
        <w:br w:type="textWrapping"/>
        <w:t xml:space="preserve">• Politika e Kontabilitetit &amp; Mbajtjes së Evidencave</w:t>
        <w:br w:type="textWrapping"/>
        <w:t xml:space="preserve">• Politika e Auditimit &amp; Raportimit Financiar</w:t>
      </w:r>
    </w:p>
    <w:p w:rsidR="00000000" w:rsidDel="00000000" w:rsidP="00000000" w:rsidRDefault="00000000" w:rsidRPr="00000000" w14:paraId="0000005A">
      <w:pPr>
        <w:rPr>
          <w:rFonts w:ascii="Verdana" w:cs="Verdana" w:eastAsia="Verdana" w:hAnsi="Verdana"/>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Kualifikimet:</w:t>
      </w:r>
    </w:p>
    <w:p w:rsidR="00000000" w:rsidDel="00000000" w:rsidP="00000000" w:rsidRDefault="00000000" w:rsidRPr="00000000" w14:paraId="0000005C">
      <w:pPr>
        <w:rPr>
          <w:rFonts w:ascii="Verdana" w:cs="Verdana" w:eastAsia="Verdana" w:hAnsi="Verdana"/>
        </w:rPr>
      </w:pPr>
      <w:r w:rsidDel="00000000" w:rsidR="00000000" w:rsidRPr="00000000">
        <w:rPr>
          <w:rFonts w:ascii="Verdana" w:cs="Verdana" w:eastAsia="Verdana" w:hAnsi="Verdana"/>
          <w:rtl w:val="0"/>
        </w:rPr>
        <w:br w:type="textWrapping"/>
        <w:t xml:space="preserve">• Minimumi 5 vite përvojë në hartimin e politikave për OJQ/OSHC</w:t>
        <w:br w:type="textWrapping"/>
        <w:t xml:space="preserve">• Njohuri mbi kërkesat e donatorëve</w:t>
        <w:br w:type="textWrapping"/>
        <w:t xml:space="preserve">• Aftësi të forta për lehtësim dhe konsultim</w:t>
      </w:r>
    </w:p>
    <w:p w:rsidR="00000000" w:rsidDel="00000000" w:rsidP="00000000" w:rsidRDefault="00000000" w:rsidRPr="00000000" w14:paraId="0000005D">
      <w:pPr>
        <w:rPr>
          <w:rFonts w:ascii="Verdana" w:cs="Verdana" w:eastAsia="Verdana" w:hAnsi="Verdana"/>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Metoda e Dorëzimit</w:t>
      </w:r>
      <w:r w:rsidDel="00000000" w:rsidR="00000000" w:rsidRPr="00000000">
        <w:rPr>
          <w:rFonts w:ascii="Verdana" w:cs="Verdana" w:eastAsia="Verdana" w:hAnsi="Verdana"/>
          <w:color w:val="000000"/>
          <w:sz w:val="18"/>
          <w:szCs w:val="18"/>
          <w:rtl w:val="0"/>
        </w:rPr>
        <w:t xml:space="preserve">: Dorëzimi elektronik i</w:t>
      </w:r>
      <w:r w:rsidDel="00000000" w:rsidR="00000000" w:rsidRPr="00000000">
        <w:rPr>
          <w:rFonts w:ascii="Verdana" w:cs="Verdana" w:eastAsia="Verdana" w:hAnsi="Verdana"/>
          <w:b w:val="1"/>
          <w:color w:val="000000"/>
          <w:sz w:val="18"/>
          <w:szCs w:val="18"/>
          <w:rtl w:val="0"/>
        </w:rPr>
        <w:t xml:space="preserve"> </w:t>
      </w:r>
      <w:r w:rsidDel="00000000" w:rsidR="00000000" w:rsidRPr="00000000">
        <w:rPr>
          <w:rFonts w:ascii="Verdana" w:cs="Verdana" w:eastAsia="Verdana" w:hAnsi="Verdana"/>
          <w:color w:val="000000"/>
          <w:sz w:val="18"/>
          <w:szCs w:val="18"/>
          <w:rtl w:val="0"/>
        </w:rPr>
        <w:t xml:space="preserve">ofertave</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Fonts w:ascii="Verdana" w:cs="Verdana" w:eastAsia="Verdana" w:hAnsi="Verdana"/>
          <w:b w:val="1"/>
          <w:color w:val="000000"/>
          <w:sz w:val="18"/>
          <w:szCs w:val="18"/>
          <w:rtl w:val="0"/>
        </w:rPr>
        <w:t xml:space="preserve">Adresa për dorëzimin e ofertave: </w:t>
      </w:r>
      <w:r w:rsidDel="00000000" w:rsidR="00000000" w:rsidRPr="00000000">
        <w:rPr>
          <w:rFonts w:ascii="Verdana" w:cs="Verdana" w:eastAsia="Verdana" w:hAnsi="Verdana"/>
          <w:color w:val="1155cc"/>
          <w:sz w:val="18"/>
          <w:szCs w:val="18"/>
          <w:highlight w:val="yellow"/>
          <w:u w:val="single"/>
          <w:rtl w:val="0"/>
        </w:rPr>
        <w:t xml:space="preserve">procurement@flossk.org</w:t>
      </w:r>
      <w:r w:rsidDel="00000000" w:rsidR="00000000" w:rsidRPr="00000000">
        <w:rPr>
          <w:rFonts w:ascii="Verdana" w:cs="Verdana" w:eastAsia="Verdana" w:hAnsi="Verdana"/>
          <w:color w:val="000000"/>
          <w:sz w:val="18"/>
          <w:szCs w:val="18"/>
          <w:rtl w:val="0"/>
        </w:rPr>
        <w:t xml:space="preserve">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60"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Udhëzimet e përgjithshme të tenderit:</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Oferta origjinale duhet të dorëzohet në postën elektronike:</w:t>
      </w:r>
      <w:r w:rsidDel="00000000" w:rsidR="00000000" w:rsidRPr="00000000">
        <w:rPr>
          <w:rFonts w:ascii="Verdana" w:cs="Verdana" w:eastAsia="Verdana" w:hAnsi="Verdana"/>
          <w:color w:val="1155cc"/>
          <w:sz w:val="18"/>
          <w:szCs w:val="18"/>
          <w:highlight w:val="yellow"/>
          <w:u w:val="single"/>
          <w:rtl w:val="0"/>
        </w:rPr>
        <w:t xml:space="preserve"> procurement@flossk.org</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Oferta duhet të tregojë Furnizimin e (Produktit ose Shërbimit), (Emri i Kompanisë), (FLOSSK 202</w:t>
      </w:r>
      <w:r w:rsidDel="00000000" w:rsidR="00000000" w:rsidRPr="00000000">
        <w:rPr>
          <w:rFonts w:ascii="Verdana" w:cs="Verdana" w:eastAsia="Verdana" w:hAnsi="Verdana"/>
          <w:sz w:val="18"/>
          <w:szCs w:val="18"/>
          <w:rtl w:val="0"/>
        </w:rPr>
        <w:t xml:space="preserve">5</w:t>
      </w:r>
      <w:r w:rsidDel="00000000" w:rsidR="00000000" w:rsidRPr="00000000">
        <w:rPr>
          <w:rFonts w:ascii="Verdana" w:cs="Verdana" w:eastAsia="Verdana" w:hAnsi="Verdana"/>
          <w:color w:val="000000"/>
          <w:sz w:val="18"/>
          <w:szCs w:val="18"/>
          <w:rtl w:val="0"/>
        </w:rPr>
        <w:t xml:space="preserve">) dhe të vuloset.</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Ofertuesit duhet të paraqesin të gjitha dokumentet e nevojshme për të mbështetur ofertën e tyre.</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Ofertuesit do të jenë përgjegjës për paraqitjen e ofertave gjatë orarit të punës tek adresa e caktuar.</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Para zgjedhjes përfundimtare, ofertuesve mund t'u kërkohet të japin informacion shtesë që mund të konsiderohet i nevojshëm për të vlerësuar më tej ofertat.</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Të drejtat e rezervuara:</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Të gjitha ofertat bëhen pronë e FLOSSK dhe FLOSSK rezervon të drejtën në diskrecionin e saj për:</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before="28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FLOSSK mund ta anulojë këtë Kërkesë për Ofertë në çdo kohë. FLOSSK rezervon të drejtën të refuzojë ndonjë apo të gjitha ofertat e marra.</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FLOSSK rezervon të drejtën për heqje dorë ndaj çdo devijimi të ofertuesit sipas specifikacioneve të kërkuara, që sipas mendimit të FLOSSK-së konsiderohen të mos jenë defekte materiale që kërkojnë refuzim ose diskualifikim; ose kur një heqje dorë e tillë do të nxisë konkurrencë në rritje.</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Zgjatë afatin për dorëzimin e të gjitha përgjigjeve të kësaj thirrje për ofertë pas njoftimit të të gjithë ofertuesve.</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Përfundojë ose modifikojë procesin e thirrjes për ofertë në çdo kohë dhe ri-lëshojë thirrjen për ofertë për këdo që FLOSSK e gjykon të përshtatshme.</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FLOSSK rezervon të drejtën për të dhënë një kontratë bazuar në vlerësimin fillestar të ofertave pa diskutim.</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280"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Të shpërblejë vetëm pjesë të aktiviteteve në shpallje ose dhënien e shpërblimeve të shumëfishta në bazë të aktiviteteve të shpallura.</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Njoftimi për ndryshimet </w:t>
      </w:r>
      <w:r w:rsidDel="00000000" w:rsidR="00000000" w:rsidRPr="00000000">
        <w:rPr>
          <w:rFonts w:ascii="Verdana" w:cs="Verdana" w:eastAsia="Verdana" w:hAnsi="Verdana"/>
          <w:color w:val="000000"/>
          <w:sz w:val="18"/>
          <w:szCs w:val="18"/>
          <w:rtl w:val="0"/>
        </w:rPr>
        <w:t xml:space="preserve">: Ofertuesit do të njoftohen me shkrim për çdo ndryshim në specifikimet e përfshira në këtë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E drejta e Refuzimit dhe sqarimit </w:t>
      </w:r>
      <w:r w:rsidDel="00000000" w:rsidR="00000000" w:rsidRPr="00000000">
        <w:rPr>
          <w:rFonts w:ascii="Verdana" w:cs="Verdana" w:eastAsia="Verdana" w:hAnsi="Verdana"/>
          <w:color w:val="000000"/>
          <w:sz w:val="18"/>
          <w:szCs w:val="18"/>
          <w:rtl w:val="0"/>
        </w:rPr>
        <w:t xml:space="preserve">: FLOSSK rezervon të drejtën të hedhë poshtë të gjitha ofertat e marra dhe të kërkojë sqarime për çdo informacion nga çdo Ofertues.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Kërkesa për informacion shtesë </w:t>
      </w:r>
      <w:r w:rsidDel="00000000" w:rsidR="00000000" w:rsidRPr="00000000">
        <w:rPr>
          <w:rFonts w:ascii="Verdana" w:cs="Verdana" w:eastAsia="Verdana" w:hAnsi="Verdana"/>
          <w:color w:val="000000"/>
          <w:sz w:val="18"/>
          <w:szCs w:val="18"/>
          <w:rtl w:val="0"/>
        </w:rPr>
        <w:t xml:space="preserve">: Para zgjedhjes përfundimtare, ofertuesve mund t'u kërkohet të japin informacion shtesë që mund të konsiderohet i nevojshëm për të vlerësuar më tej ofertat.</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60" w:lineRule="auto"/>
        <w:rPr>
          <w:rFonts w:ascii="Verdana" w:cs="Verdana" w:eastAsia="Verdana" w:hAnsi="Verdana"/>
          <w:b w:val="1"/>
          <w:color w:val="000000"/>
          <w:sz w:val="18"/>
          <w:szCs w:val="18"/>
          <w:u w:val="single"/>
        </w:rPr>
      </w:pPr>
      <w:r w:rsidDel="00000000" w:rsidR="00000000" w:rsidRPr="00000000">
        <w:rPr>
          <w:rFonts w:ascii="Verdana" w:cs="Verdana" w:eastAsia="Verdana" w:hAnsi="Verdana"/>
          <w:b w:val="1"/>
          <w:color w:val="000000"/>
          <w:sz w:val="18"/>
          <w:szCs w:val="18"/>
          <w:u w:val="single"/>
          <w:rtl w:val="0"/>
        </w:rPr>
        <w:t xml:space="preserve">Kriteret e vlerësimit janë çmimi më i ulët dhe kualiteti i ofruar duke përmbushur specifikimet e përmendura.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60" w:lineRule="auto"/>
        <w:rPr>
          <w:rFonts w:ascii="Verdana" w:cs="Verdana" w:eastAsia="Verdana" w:hAnsi="Verdana"/>
          <w:b w:val="1"/>
          <w:color w:val="000000"/>
          <w:sz w:val="18"/>
          <w:szCs w:val="18"/>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60" w:lineRule="auto"/>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Vlerësimi i Ofertave</w:t>
      </w:r>
      <w:r w:rsidDel="00000000" w:rsidR="00000000" w:rsidRPr="00000000">
        <w:rPr>
          <w:rFonts w:ascii="Verdana" w:cs="Verdana" w:eastAsia="Verdana" w:hAnsi="Verdana"/>
          <w:color w:val="000000"/>
          <w:sz w:val="18"/>
          <w:szCs w:val="18"/>
          <w:rtl w:val="0"/>
        </w:rPr>
        <w:t xml:space="preserve">: Ofertat do të vlerësohen nga një Komitet Zgjedhor.</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Oferta duhet të përmbajë të gjitha informacionet dhe specifikimet përkatëse në përputhje me këtë Kërkesë të Ofertës:</w:t>
      </w:r>
    </w:p>
    <w:p w:rsidR="00000000" w:rsidDel="00000000" w:rsidP="00000000" w:rsidRDefault="00000000" w:rsidRPr="00000000" w14:paraId="0000007A">
      <w:pPr>
        <w:numPr>
          <w:ilvl w:val="0"/>
          <w:numId w:val="4"/>
        </w:numPr>
        <w:ind w:left="510" w:firstLine="0"/>
        <w:jc w:val="both"/>
        <w:rPr>
          <w:rFonts w:ascii="Verdana" w:cs="Verdana" w:eastAsia="Verdana" w:hAnsi="Verdana"/>
          <w:color w:val="000000"/>
        </w:rPr>
      </w:pPr>
      <w:r w:rsidDel="00000000" w:rsidR="00000000" w:rsidRPr="00000000">
        <w:rPr>
          <w:rFonts w:ascii="Verdana" w:cs="Verdana" w:eastAsia="Verdana" w:hAnsi="Verdana"/>
          <w:sz w:val="18"/>
          <w:szCs w:val="18"/>
          <w:rtl w:val="0"/>
        </w:rPr>
        <w:t xml:space="preserve">Nëse je biznes, o</w:t>
      </w:r>
      <w:r w:rsidDel="00000000" w:rsidR="00000000" w:rsidRPr="00000000">
        <w:rPr>
          <w:rFonts w:ascii="Verdana" w:cs="Verdana" w:eastAsia="Verdana" w:hAnsi="Verdana"/>
          <w:color w:val="000000"/>
          <w:sz w:val="18"/>
          <w:szCs w:val="18"/>
          <w:rtl w:val="0"/>
        </w:rPr>
        <w:t xml:space="preserve">ferta duhet të përmbajë kopje të certifikatave të regjistrimit të biznesit;</w:t>
      </w:r>
      <w:r w:rsidDel="00000000" w:rsidR="00000000" w:rsidRPr="00000000">
        <w:rPr>
          <w:rtl w:val="0"/>
        </w:rPr>
      </w:r>
    </w:p>
    <w:p w:rsidR="00000000" w:rsidDel="00000000" w:rsidP="00000000" w:rsidRDefault="00000000" w:rsidRPr="00000000" w14:paraId="0000007B">
      <w:pPr>
        <w:numPr>
          <w:ilvl w:val="0"/>
          <w:numId w:val="4"/>
        </w:numPr>
        <w:ind w:left="510" w:firstLine="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Portofolion </w:t>
      </w:r>
      <w:r w:rsidDel="00000000" w:rsidR="00000000" w:rsidRPr="00000000">
        <w:rPr>
          <w:rFonts w:ascii="Verdana" w:cs="Verdana" w:eastAsia="Verdana" w:hAnsi="Verdana"/>
          <w:sz w:val="18"/>
          <w:szCs w:val="18"/>
          <w:rtl w:val="0"/>
        </w:rPr>
        <w:t xml:space="preserve">personale apo të</w:t>
      </w:r>
      <w:r w:rsidDel="00000000" w:rsidR="00000000" w:rsidRPr="00000000">
        <w:rPr>
          <w:rFonts w:ascii="Verdana" w:cs="Verdana" w:eastAsia="Verdana" w:hAnsi="Verdana"/>
          <w:color w:val="000000"/>
          <w:sz w:val="18"/>
          <w:szCs w:val="18"/>
          <w:rtl w:val="0"/>
        </w:rPr>
        <w:t xml:space="preserve"> kompanisë dhe ekzemplarë (Online) të materialeve të ngjashme të përgatitura nga </w:t>
      </w:r>
      <w:r w:rsidDel="00000000" w:rsidR="00000000" w:rsidRPr="00000000">
        <w:rPr>
          <w:rFonts w:ascii="Verdana" w:cs="Verdana" w:eastAsia="Verdana" w:hAnsi="Verdana"/>
          <w:sz w:val="18"/>
          <w:szCs w:val="18"/>
          <w:rtl w:val="0"/>
        </w:rPr>
        <w:t xml:space="preserve">ju</w:t>
      </w:r>
      <w:r w:rsidDel="00000000" w:rsidR="00000000" w:rsidRPr="00000000">
        <w:rPr>
          <w:rFonts w:ascii="Verdana" w:cs="Verdana" w:eastAsia="Verdana" w:hAnsi="Verdana"/>
          <w:color w:val="000000"/>
          <w:sz w:val="18"/>
          <w:szCs w:val="18"/>
          <w:rtl w:val="0"/>
        </w:rPr>
        <w:t xml:space="preserve"> (nëse ka).</w:t>
      </w:r>
    </w:p>
    <w:p w:rsidR="00000000" w:rsidDel="00000000" w:rsidP="00000000" w:rsidRDefault="00000000" w:rsidRPr="00000000" w14:paraId="0000007C">
      <w:pPr>
        <w:numPr>
          <w:ilvl w:val="0"/>
          <w:numId w:val="4"/>
        </w:numPr>
        <w:ind w:left="510" w:firstLine="0"/>
        <w:jc w:val="both"/>
        <w:rPr>
          <w:rFonts w:ascii="Verdana" w:cs="Verdana" w:eastAsia="Verdana" w:hAnsi="Verdana"/>
          <w:color w:val="000000"/>
        </w:rPr>
      </w:pPr>
      <w:r w:rsidDel="00000000" w:rsidR="00000000" w:rsidRPr="00000000">
        <w:rPr>
          <w:rFonts w:ascii="Verdana" w:cs="Verdana" w:eastAsia="Verdana" w:hAnsi="Verdana"/>
          <w:color w:val="000000"/>
          <w:sz w:val="18"/>
          <w:szCs w:val="18"/>
          <w:rtl w:val="0"/>
        </w:rPr>
        <w:t xml:space="preserve">Oferta duhet të përfshijë çmimet e njësive në Euro;</w:t>
      </w:r>
      <w:r w:rsidDel="00000000" w:rsidR="00000000" w:rsidRPr="00000000">
        <w:rPr>
          <w:rtl w:val="0"/>
        </w:rPr>
      </w:r>
    </w:p>
    <w:p w:rsidR="00000000" w:rsidDel="00000000" w:rsidP="00000000" w:rsidRDefault="00000000" w:rsidRPr="00000000" w14:paraId="0000007D">
      <w:pPr>
        <w:numPr>
          <w:ilvl w:val="0"/>
          <w:numId w:val="4"/>
        </w:numPr>
        <w:ind w:left="510" w:firstLine="0"/>
        <w:jc w:val="both"/>
        <w:rPr>
          <w:rFonts w:ascii="Verdana" w:cs="Verdana" w:eastAsia="Verdana" w:hAnsi="Verdana"/>
          <w:color w:val="000000"/>
        </w:rPr>
      </w:pPr>
      <w:r w:rsidDel="00000000" w:rsidR="00000000" w:rsidRPr="00000000">
        <w:rPr>
          <w:rFonts w:ascii="Verdana" w:cs="Verdana" w:eastAsia="Verdana" w:hAnsi="Verdana"/>
          <w:color w:val="000000"/>
          <w:sz w:val="18"/>
          <w:szCs w:val="18"/>
          <w:rtl w:val="0"/>
        </w:rPr>
        <w:t xml:space="preserve">Për disa projekte të organizatës që janë të përjashtuar nga TVSH-ja disa të tjera që përjashtohen nga të gjitha taksat e aplikueshme në Kosovë, nga kompania fituese do të kërkohet të bëjë fatura pa këto taksa.</w:t>
      </w:r>
      <w:r w:rsidDel="00000000" w:rsidR="00000000" w:rsidRPr="00000000">
        <w:rPr>
          <w:rtl w:val="0"/>
        </w:rPr>
      </w:r>
    </w:p>
    <w:p w:rsidR="00000000" w:rsidDel="00000000" w:rsidP="00000000" w:rsidRDefault="00000000" w:rsidRPr="00000000" w14:paraId="0000007E">
      <w:pPr>
        <w:numPr>
          <w:ilvl w:val="0"/>
          <w:numId w:val="4"/>
        </w:numPr>
        <w:ind w:left="510" w:firstLine="0"/>
        <w:jc w:val="both"/>
        <w:rPr>
          <w:rFonts w:ascii="Verdana" w:cs="Verdana" w:eastAsia="Verdana" w:hAnsi="Verdana"/>
          <w:color w:val="000000"/>
        </w:rPr>
      </w:pPr>
      <w:r w:rsidDel="00000000" w:rsidR="00000000" w:rsidRPr="00000000">
        <w:rPr>
          <w:rFonts w:ascii="Verdana" w:cs="Verdana" w:eastAsia="Verdana" w:hAnsi="Verdana"/>
          <w:color w:val="000000"/>
          <w:sz w:val="18"/>
          <w:szCs w:val="18"/>
          <w:rtl w:val="0"/>
        </w:rPr>
        <w:t xml:space="preserve">FLOSSK rezervon të drejtën të refuzojë ndonjë ose të gjitha ofertat e marra.</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60"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60"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Kriteret e Vlerësimit</w:t>
      </w:r>
    </w:p>
    <w:p w:rsidR="00000000" w:rsidDel="00000000" w:rsidP="00000000" w:rsidRDefault="00000000" w:rsidRPr="00000000" w14:paraId="000000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Propozimi teknik &amp; metodologjia – 30%</w:t>
      </w:r>
    </w:p>
    <w:p w:rsidR="00000000" w:rsidDel="00000000" w:rsidP="00000000" w:rsidRDefault="00000000" w:rsidRPr="00000000" w14:paraId="0000008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Përvoja dhe kualifikimet – 30%</w:t>
      </w:r>
    </w:p>
    <w:p w:rsidR="00000000" w:rsidDel="00000000" w:rsidP="00000000" w:rsidRDefault="00000000" w:rsidRPr="00000000" w14:paraId="0000008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Oferta financiare – 40%</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Shënim</w:t>
      </w:r>
      <w:r w:rsidDel="00000000" w:rsidR="00000000" w:rsidRPr="00000000">
        <w:rPr>
          <w:rtl w:val="0"/>
        </w:rPr>
      </w:r>
    </w:p>
    <w:p w:rsidR="00000000" w:rsidDel="00000000" w:rsidP="00000000" w:rsidRDefault="00000000" w:rsidRPr="00000000" w14:paraId="00000086">
      <w:pPr>
        <w:numPr>
          <w:ilvl w:val="0"/>
          <w:numId w:val="5"/>
        </w:numPr>
        <w:spacing w:before="100" w:lineRule="auto"/>
        <w:ind w:left="510" w:firstLine="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Ju lutem vini re se me dorëzimin e ofertës, ofertuesi kupton se Donatori nuk është palë në këtë kërkesë dhe ofertuesi pajtohet që çdo shkresë në vijim duhet të paraqitet - me shkrim me shpjegime të plota – vetëm tek FLOSSK. </w:t>
      </w:r>
    </w:p>
    <w:p w:rsidR="00000000" w:rsidDel="00000000" w:rsidP="00000000" w:rsidRDefault="00000000" w:rsidRPr="00000000" w14:paraId="00000087">
      <w:pPr>
        <w:numPr>
          <w:ilvl w:val="0"/>
          <w:numId w:val="5"/>
        </w:numPr>
        <w:spacing w:before="100" w:lineRule="auto"/>
        <w:ind w:left="510" w:firstLine="0"/>
        <w:jc w:val="both"/>
        <w:rPr>
          <w:rFonts w:ascii="Verdana" w:cs="Verdana" w:eastAsia="Verdana" w:hAnsi="Verdana"/>
          <w:color w:val="000000"/>
        </w:rPr>
      </w:pPr>
      <w:r w:rsidDel="00000000" w:rsidR="00000000" w:rsidRPr="00000000">
        <w:rPr>
          <w:rFonts w:ascii="Verdana" w:cs="Verdana" w:eastAsia="Verdana" w:hAnsi="Verdana"/>
          <w:color w:val="000000"/>
          <w:sz w:val="18"/>
          <w:szCs w:val="18"/>
          <w:rtl w:val="0"/>
        </w:rPr>
        <w:t xml:space="preserve">FLOSSK mund të kërkojë sqarime nga ofertuesit e zgjedhur - deri në dy ose tre herë prezantim me gojë ose përgjigje me shkrim - shtjellim më specifik dhe fushëveprim më i detajuar i punës bazuar në një fushë të përgjithshme të punës nën thirrjen origjinale.</w:t>
      </w:r>
      <w:r w:rsidDel="00000000" w:rsidR="00000000" w:rsidRPr="00000000">
        <w:rPr>
          <w:rtl w:val="0"/>
        </w:rPr>
      </w:r>
    </w:p>
    <w:p w:rsidR="00000000" w:rsidDel="00000000" w:rsidP="00000000" w:rsidRDefault="00000000" w:rsidRPr="00000000" w14:paraId="00000088">
      <w:pPr>
        <w:numPr>
          <w:ilvl w:val="0"/>
          <w:numId w:val="5"/>
        </w:numPr>
        <w:spacing w:after="160" w:lineRule="auto"/>
        <w:ind w:left="510" w:firstLine="0"/>
        <w:jc w:val="both"/>
        <w:rPr>
          <w:rFonts w:ascii="Verdana" w:cs="Verdana" w:eastAsia="Verdana" w:hAnsi="Verdana"/>
          <w:color w:val="000000"/>
        </w:rPr>
      </w:pPr>
      <w:r w:rsidDel="00000000" w:rsidR="00000000" w:rsidRPr="00000000">
        <w:rPr>
          <w:rFonts w:ascii="Verdana" w:cs="Verdana" w:eastAsia="Verdana" w:hAnsi="Verdana"/>
          <w:color w:val="000000"/>
          <w:sz w:val="18"/>
          <w:szCs w:val="18"/>
          <w:rtl w:val="0"/>
        </w:rPr>
        <w:t xml:space="preserve">FLOSSK ka të drejtë të anulojë një thirrje, ose të anulojë një kontratë paraprake përpara nënshkrimit të një urdhri blerjeje për shkak të ndonjë ndryshimi të paparashikuar.</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8A">
      <w:pPr>
        <w:spacing w:line="276"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Kriteret e përjashtimit nga procedura (Të përcaktuara nga dokumenti i BE-së për procedura dhe udhëzime praktike (prag).</w:t>
      </w:r>
    </w:p>
    <w:p w:rsidR="00000000" w:rsidDel="00000000" w:rsidP="00000000" w:rsidRDefault="00000000" w:rsidRPr="00000000" w14:paraId="0000008B">
      <w:pPr>
        <w:spacing w:line="276"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Një operator ekonomik do të përjashtohet nga pjesëmarrja në procedurat e prokurimit dhe grantit nëse:</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është i falimentuar, i nënshtrohet procedurave të falimentimit ose të likuidimit, ku aktivitetet e tij janë të administruar nga një likuidues ose nga një gjykatë, ku ai është në një marrëveshje me kreditorët, ku aktivitetet e tij të biznesit pezullohen ose kur është në ndonjë situatë analoge që del nga procedura të ngjashme të parashikuara në ligjet ose rregulloret kombëtare;</w:t>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është vërtetuar me vendim të formës së prerë ose me vendim administrativ të formës së prerë që operatori ekonomik është në kundërshtim me detyrimet e tij lidhur me pagesën e taksave ose sigurimeve shoqërore dhe kontributet në përputhje me ligjin e vendit në të cilin është themeluar, me ato të vendit në të cilin është vendosur autoriteti kontraktues ose ato të vendit të kryerjes se kontratës;</w:t>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është vërtetuar me vendim të formës së prerë ose me vendim administrativ të formës së prerë që operatori ekonomik është fajtor për sjellje të keqe profesionale të rëndë duke shkelur ligjet në fuqi ose rregulloret ose standardet etike të profesionit të cilit i përket operatori ekonomik, ose duke u angazhuar në çdo sjellje të gabuar që ka një ndikim në besueshmërinë e tij profesionale kur sjellja e tillë nënkupton një qëllim të gabuar ose neglizhencë të rëndë, duke përfshirë, në veçanti, ndonjë të përmendur poshtë:</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me mashtrim apo me neglizhim paraqesin informacionin e kërkuar për verifikim, mungesa e arsyeve për përjashtim ose përmbushja e kritereve të përzgjedhjes në kryerjen e një kontrate;</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duke hyrë në marrëveshje me operatorë të tjerë ekonomik me qëllim të shtrembërimit të konkurrencës;</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shkelje e të drejtave të pronësisë intelektuale;</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duke tentuar të ndikojë në procesin e vendimmarrjes së autoritetit kontraktues gjatë procedurës së prokurimit;</w:t>
        <w:tab/>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duke u përpjekur për të marrë informacion konfidencial që mund t'i japë atyre avantazhe të padrejta në procedurën e prokurimit;</w:t>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është vërtetuar me aktgjykim të formës së prerë se operatori ekonomik është fajtor për cilëndo prej tyre në vazhdim:</w:t>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mashtrim, brenda kuptimit të nenit 1 të Konventës për mbrojtjen e Evropës</w:t>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Interesat financiare të komuniteteve të hartuara nga Akti i Këshillit i datës 26 korrik 199517;</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(ii) korrupsion, siç përcaktohet në nenin 3 të Konventës për luftën kundër korrupsionit duke përfshirë zyrtarët e Komuniteteve Europiane ose zyrtarët e Shteteve Anëtare të Bashkimi Evropian, i hartuar nga Akti i Këshillit i 26 Majit 199718, dhe në Nenin 2 (1) të Ligjit të Këshillit Vendimin Kornizë të Këshillit 2003/568 / JHA, si dhe korrupsionin siç përcaktohet në ligjin e vendit ku është vendosur autoriteti kontraktues, vendi në të cilin operatori ekonomik është themeluar ose vendi i ekzekutimit të kontratës;</w:t>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pjesëmarrje në një organizatë kriminale, siç përcaktohet në Nenin 2 të Kornizës së Këshillit Vendimi 2008/841/JHA;</w:t>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pastrimit të parave ose financimit të terrorizmit, siç përcaktohet në Nenin 1 të Direktivës 2005/60 / EC të Parlamenti Evropian dhe Këshilli 21;</w:t>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veprat penale të lidhura me gabime ose veprat penale të lidhura me aktivitetet terroriste, siç përcaktohet në nenet 1 dhe 3 të Vendimit Kornizë të Këshillit 2002/475/JHA, respektivisht, ose nxitjen, ndihmën ose inkurajimin ose përpjekje për të kryer vepra të tilla, siç referohet në nenin 4 të atij vendimi kornizë;</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punës së fëmijëve ose formave të tjera të trafikimit të qenieve njerëzore siç përcaktohet në nenin 2 të Direktivës 2011/36 / BE të Parlamentit Evropian dhe të Këshillit;</w:t>
        <w:tab/>
        <w:br w:type="textWrapping"/>
        <w:t xml:space="preserve">operatori ekonomik ka treguar mangësi të konsiderueshme në përmbushjen e detyrimeve kryesore në kryerjen e një kontrate të financuar nga BE, e cila ka çuar në përfundimin e saj të hershëm ose për zbatimin e dëmeve të likuiduara ose dënimeve të tjera kontraktuale ose që ka qenë zbuluar në vijim kontrollë, ose hetime nga një zyrtar autorizues, OLAF ose Gjykata e Auditorëve;</w:t>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është vërtetuar me vendim të formës së prerë, ose me vendim të formës së prerë administrative që operatori ekonomik ka kryer një parregullsi brenda kuptimit të nenit 1 (2) të Këshillit Rregullorja (KE, Euratom) Nr. 2988/95124.</w:t>
        <w:tab/>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Në rastet e përmendura në pikat (c), (d) dhe (f) në mungesë të aktgjykimit të formës së prerë ose vendimit përfundimtar administrativ, ose në rastin e përmendur në pikën (e), kur autoriteti kontraktues disponon fakte të themelimit apo gjetjeve të tjera, ajo përjashton një operator ekonomik në bazë të një klasifikimi paraprak të ligjit duke pasur parasysh rekomandimin e një paneli të pavarur për të siguruar një vlerësim të centralizuar të këtyre situatave.</w:t>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Në menaxhimin indirekt, sipas rastit së marrëveshjes së financimit ose të delegimit korrespondent, autoriteti kontraktues do të transmetojë informacionin për Komisionin, dhe Komisionin do t'i referohet çështjes panelit.</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Autoriteti kontraktues do të përjashtojë operatorin ekonomik kur një person i cili është anëtar i organit administrativ, menaxhues ose mbikëqyrës ose ka fuqi për përfaqësim, vendim ose kontroll mbi operatorin ekonomik është në një situatë të renditur në pikat (c), (d), (e) ose (f). Kjo vlen edhe për personin fizik ose juridik që merr përgjegjësi të pakufizuar për borxhet e atij operatori ekonomik është në një gjendja e shënuar në pikat (a) ose (b).</w:t>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Pika (a) nuk zbatohet për blerjen e furnizimeve me kushte veçanërisht të favorshme nga ose a furnizuesi i cili përfundon përfundimisht aktivitetet e tij të biznesit ose nga likuiduesit e një falimentimi, nëpërmjet një marrëveshje me kreditorët, ose nëpërmjet një procedure të ngjashme sipas ligjit kombëtar.</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100" w:line="276" w:lineRule="auto"/>
        <w:ind w:left="840" w:hanging="680"/>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A2">
      <w:pP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Autoriteti kontraktues nuk do të përjashtojë një operator ekonomik kur mund ta tregojë atë se a janë miratuar masa adekuate që sigurojnë besueshmërinë e saj, përveç rasteve të renditura në pikën (d), kur është e domosdoshme për vazhdimësinë e shërbimit për një kohëzgjatje të kufizuar dhe në pritje të miratimin e masave përmirësuese, ku përjashtimi do të ishte jo-proporcional</w:t>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Informacione më të hollësishme:</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60"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Për kompanitë e interesuara, të gjitha pyetjet e tjera sqaruese mund të bëhen përmes postës elektronike </w:t>
      </w:r>
      <w:r w:rsidDel="00000000" w:rsidR="00000000" w:rsidRPr="00000000">
        <w:rPr>
          <w:rFonts w:ascii="Verdana" w:cs="Verdana" w:eastAsia="Verdana" w:hAnsi="Verdana"/>
          <w:color w:val="000000"/>
          <w:sz w:val="18"/>
          <w:szCs w:val="18"/>
          <w:highlight w:val="yellow"/>
          <w:rtl w:val="0"/>
        </w:rPr>
        <w:t xml:space="preserve">procurement@FLOSSK-ks.org.</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60"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FLOSSK nuk merr përgjegjësi për të kompensuar çdo kosto të bërë nga kompanitë ose individët kur përgatisin oferta.</w:t>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Verdana" w:cs="Verdana" w:eastAsia="Verdana" w:hAnsi="Verdana"/>
        </w:rPr>
      </w:pPr>
      <w:r w:rsidDel="00000000" w:rsidR="00000000" w:rsidRPr="00000000">
        <w:rPr>
          <w:rtl w:val="0"/>
        </w:rPr>
      </w:r>
    </w:p>
    <w:sectPr>
      <w:headerReference r:id="rId8" w:type="first"/>
      <w:footerReference r:id="rId9" w:type="default"/>
      <w:footerReference r:id="rId10" w:type="even"/>
      <w:pgSz w:h="16834" w:w="11909" w:orient="portrait"/>
      <w:pgMar w:bottom="568" w:top="1440" w:left="1440" w:right="839"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imes New Roman"/>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320"/>
        <w:tab w:val="right" w:leader="none" w:pos="8640"/>
      </w:tabs>
      <w:ind w:right="360"/>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New Roman" w:cs="Times New Roman" w:eastAsia="Times New Roman" w:hAnsi="Times New Roman"/>
        <w:color w:val="000000"/>
        <w:sz w:val="24"/>
        <w:szCs w:val="24"/>
      </w:rPr>
    </w:pPr>
    <w:r w:rsidDel="00000000" w:rsidR="00000000" w:rsidRPr="00000000">
      <w:rPr>
        <w:rFonts w:ascii="Verdana" w:cs="Verdana" w:eastAsia="Verdana" w:hAnsi="Verdana"/>
        <w:color w:val="000000"/>
        <w:sz w:val="16"/>
        <w:szCs w:val="16"/>
        <w:rtl w:val="0"/>
      </w:rPr>
      <w:t xml:space="preserve">Page </w:t>
    </w:r>
    <w:r w:rsidDel="00000000" w:rsidR="00000000" w:rsidRPr="00000000">
      <w:rPr>
        <w:rFonts w:ascii="Verdana" w:cs="Verdana" w:eastAsia="Verdana" w:hAnsi="Verdana"/>
        <w:color w:val="000000"/>
        <w:sz w:val="16"/>
        <w:szCs w:val="16"/>
      </w:rPr>
      <w:fldChar w:fldCharType="begin"/>
      <w:instrText xml:space="preserve">PAGE</w:instrText>
      <w:fldChar w:fldCharType="separate"/>
      <w:fldChar w:fldCharType="end"/>
    </w:r>
    <w:r w:rsidDel="00000000" w:rsidR="00000000" w:rsidRPr="00000000">
      <w:rPr>
        <w:rFonts w:ascii="Verdana" w:cs="Verdana" w:eastAsia="Verdana" w:hAnsi="Verdana"/>
        <w:color w:val="000000"/>
        <w:sz w:val="16"/>
        <w:szCs w:val="16"/>
        <w:rtl w:val="0"/>
      </w:rPr>
      <w:t xml:space="preserve"> of </w:t>
    </w:r>
    <w:r w:rsidDel="00000000" w:rsidR="00000000" w:rsidRPr="00000000">
      <w:rPr>
        <w:rFonts w:ascii="Verdana" w:cs="Verdana" w:eastAsia="Verdana" w:hAnsi="Verdana"/>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320"/>
        <w:tab w:val="right" w:leader="none" w:pos="8640"/>
      </w:tabs>
      <w:ind w:right="360"/>
      <w:rPr>
        <w:rFonts w:ascii="Verdana" w:cs="Verdana" w:eastAsia="Verdana" w:hAnsi="Verdana"/>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br w:type="textWrapp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51754</wp:posOffset>
              </wp:positionH>
              <wp:positionV relativeFrom="paragraph">
                <wp:posOffset>-100011</wp:posOffset>
              </wp:positionV>
              <wp:extent cx="3733800" cy="357505"/>
              <wp:effectExtent b="0" l="0" r="0" t="0"/>
              <wp:wrapSquare wrapText="bothSides" distB="45720" distT="45720" distL="114300" distR="114300"/>
              <wp:docPr id="1023666706" name=""/>
              <a:graphic>
                <a:graphicData uri="http://schemas.microsoft.com/office/word/2010/wordprocessingShape">
                  <wps:wsp>
                    <wps:cNvSpPr/>
                    <wps:cNvPr id="2" name="Shape 2"/>
                    <wps:spPr>
                      <a:xfrm>
                        <a:off x="3483863" y="3606010"/>
                        <a:ext cx="3724275" cy="3479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FLOSSK, me numër të regjistrimit (5112343-3) dhe numër fiskal: 601010911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FLOSSK, with registration no (5112343-3) and Fiscal No: 601010911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51754</wp:posOffset>
              </wp:positionH>
              <wp:positionV relativeFrom="paragraph">
                <wp:posOffset>-100011</wp:posOffset>
              </wp:positionV>
              <wp:extent cx="3733800" cy="357505"/>
              <wp:effectExtent b="0" l="0" r="0" t="0"/>
              <wp:wrapSquare wrapText="bothSides" distB="45720" distT="45720" distL="114300" distR="114300"/>
              <wp:docPr id="102366670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733800" cy="35750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3999865</wp:posOffset>
          </wp:positionH>
          <wp:positionV relativeFrom="paragraph">
            <wp:posOffset>-140334</wp:posOffset>
          </wp:positionV>
          <wp:extent cx="1781175" cy="479011"/>
          <wp:effectExtent b="0" l="0" r="0" t="0"/>
          <wp:wrapNone/>
          <wp:docPr descr="A black background with a black square&#10;&#10;AI-generated content may be incorrect." id="1023666708" name="image1.png"/>
          <a:graphic>
            <a:graphicData uri="http://schemas.openxmlformats.org/drawingml/2006/picture">
              <pic:pic>
                <pic:nvPicPr>
                  <pic:cNvPr descr="A black background with a black square&#10;&#10;AI-generated content may be incorrect." id="0" name="image1.png"/>
                  <pic:cNvPicPr preferRelativeResize="0"/>
                </pic:nvPicPr>
                <pic:blipFill>
                  <a:blip r:embed="rId2"/>
                  <a:srcRect b="0" l="0" r="0" t="0"/>
                  <a:stretch>
                    <a:fillRect/>
                  </a:stretch>
                </pic:blipFill>
                <pic:spPr>
                  <a:xfrm>
                    <a:off x="0" y="0"/>
                    <a:ext cx="1781175" cy="4790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4"/>
      <w:numFmt w:val="bullet"/>
      <w:lvlText w:val="-"/>
      <w:lvlJc w:val="left"/>
      <w:pPr>
        <w:ind w:left="1080" w:hanging="360"/>
      </w:pPr>
      <w:rPr>
        <w:rFonts w:ascii="Verdana" w:cs="Verdana" w:eastAsia="Verdana" w:hAnsi="Verdan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90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sq-A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Hyperlink">
    <w:name w:val="Hyperlink"/>
    <w:basedOn w:val="DefaultParagraphFont"/>
    <w:rsid w:val="004D4B95"/>
    <w:rPr>
      <w:color w:val="0000ff"/>
      <w:u w:val="single"/>
    </w:rPr>
  </w:style>
  <w:style w:type="paragraph" w:styleId="Footer">
    <w:name w:val="footer"/>
    <w:basedOn w:val="Normal"/>
    <w:link w:val="FooterChar"/>
    <w:uiPriority w:val="99"/>
    <w:rsid w:val="004D4B95"/>
    <w:pPr>
      <w:tabs>
        <w:tab w:val="center" w:pos="4320"/>
        <w:tab w:val="right" w:pos="8640"/>
      </w:tabs>
    </w:pPr>
    <w:rPr>
      <w:rFonts w:ascii="Times New Roman" w:hAnsi="Times New Roman"/>
      <w:sz w:val="24"/>
      <w:szCs w:val="24"/>
    </w:rPr>
  </w:style>
  <w:style w:type="character" w:styleId="FooterChar" w:customStyle="1">
    <w:name w:val="Footer Char"/>
    <w:basedOn w:val="DefaultParagraphFont"/>
    <w:link w:val="Footer"/>
    <w:uiPriority w:val="99"/>
    <w:rsid w:val="004D4B95"/>
    <w:rPr>
      <w:rFonts w:ascii="Times New Roman" w:cs="Times New Roman" w:eastAsia="Times New Roman" w:hAnsi="Times New Roman"/>
      <w:sz w:val="24"/>
      <w:szCs w:val="24"/>
    </w:rPr>
  </w:style>
  <w:style w:type="character" w:styleId="PageNumber">
    <w:name w:val="page number"/>
    <w:basedOn w:val="DefaultParagraphFont"/>
    <w:rsid w:val="004D4B95"/>
  </w:style>
  <w:style w:type="paragraph" w:styleId="kaptina1" w:customStyle="1">
    <w:name w:val="kaptina 1"/>
    <w:basedOn w:val="Normal"/>
    <w:autoRedefine w:val="1"/>
    <w:rsid w:val="004D4B95"/>
    <w:pPr>
      <w:pBdr>
        <w:bottom w:color="auto" w:space="1" w:sz="6" w:val="single"/>
      </w:pBdr>
      <w:spacing w:line="360" w:lineRule="auto"/>
      <w:ind w:right="-151"/>
      <w:jc w:val="both"/>
    </w:pPr>
    <w:rPr>
      <w:rFonts w:ascii="Verdana" w:hAnsi="Verdana"/>
      <w:b w:val="1"/>
      <w:color w:val="000000"/>
      <w:szCs w:val="18"/>
    </w:rPr>
  </w:style>
  <w:style w:type="paragraph" w:styleId="Header">
    <w:name w:val="header"/>
    <w:basedOn w:val="Normal"/>
    <w:link w:val="HeaderChar"/>
    <w:uiPriority w:val="99"/>
    <w:rsid w:val="004D4B95"/>
    <w:pPr>
      <w:tabs>
        <w:tab w:val="center" w:pos="4320"/>
        <w:tab w:val="right" w:pos="8640"/>
      </w:tabs>
    </w:pPr>
  </w:style>
  <w:style w:type="character" w:styleId="HeaderChar" w:customStyle="1">
    <w:name w:val="Header Char"/>
    <w:basedOn w:val="DefaultParagraphFont"/>
    <w:link w:val="Header"/>
    <w:uiPriority w:val="99"/>
    <w:rsid w:val="004D4B95"/>
    <w:rPr>
      <w:rFonts w:ascii="Arial" w:cs="Times New Roman" w:eastAsia="Times New Roman" w:hAnsi="Arial"/>
      <w:sz w:val="20"/>
      <w:szCs w:val="20"/>
    </w:rPr>
  </w:style>
  <w:style w:type="paragraph" w:styleId="ListParagraph">
    <w:name w:val="List Paragraph"/>
    <w:basedOn w:val="Normal"/>
    <w:uiPriority w:val="34"/>
    <w:qFormat w:val="1"/>
    <w:rsid w:val="004D4B95"/>
    <w:pPr>
      <w:widowControl w:val="0"/>
      <w:autoSpaceDE w:val="0"/>
      <w:autoSpaceDN w:val="0"/>
      <w:spacing w:before="100"/>
      <w:ind w:left="840" w:hanging="680"/>
    </w:pPr>
    <w:rPr>
      <w:rFonts w:ascii="Garamond" w:cs="Garamond" w:eastAsia="Garamond" w:hAnsi="Garamond"/>
      <w:sz w:val="22"/>
      <w:szCs w:val="22"/>
    </w:rPr>
  </w:style>
  <w:style w:type="paragraph" w:styleId="NormalWeb">
    <w:name w:val="Normal (Web)"/>
    <w:basedOn w:val="Normal"/>
    <w:uiPriority w:val="99"/>
    <w:unhideWhenUsed w:val="1"/>
    <w:rsid w:val="004D4B95"/>
    <w:pPr>
      <w:spacing w:after="100" w:afterAutospacing="1" w:before="100" w:beforeAutospacing="1"/>
    </w:pPr>
    <w:rPr>
      <w:rFonts w:ascii="Times New Roman" w:hAnsi="Times New Roman"/>
      <w:sz w:val="24"/>
      <w:szCs w:val="24"/>
      <w:lang w:eastAsia="sq-AL"/>
    </w:rPr>
  </w:style>
  <w:style w:type="table" w:styleId="TableGrid">
    <w:name w:val="Table Grid"/>
    <w:basedOn w:val="TableNormal"/>
    <w:uiPriority w:val="39"/>
    <w:rsid w:val="00B4711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paragraph" w:styleId="NoSpacing">
    <w:name w:val="No Spacing"/>
    <w:uiPriority w:val="1"/>
    <w:qFormat w:val="1"/>
    <w:rsid w:val="00F15008"/>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1A6F6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Kv0Ki7mWR2MCj/wSvo82AIcig==">CgMxLjAyCGguZ2pkZ3hzMg5oLmt1dWdqYzZvOGY4bDgAciExcnk1OTFQcWo3dVpPVzYxNDNzUkJ2azJwa3FyZ3hiU1E=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2020-03-04T09:28:00Z</dcterms:created>
  <dc:creator>USER</dc:creator>
</cp:coreProperties>
</file>